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F96" w:rsidRDefault="008B261C">
      <w:pPr>
        <w:pStyle w:val="normal"/>
      </w:pPr>
      <w:r>
        <w:rPr>
          <w:noProof/>
        </w:rPr>
        <w:drawing>
          <wp:inline distT="0" distB="0" distL="0" distR="0">
            <wp:extent cx="5274310" cy="98893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274310" cy="988933"/>
                    </a:xfrm>
                    <a:prstGeom prst="rect">
                      <a:avLst/>
                    </a:prstGeom>
                    <a:ln/>
                  </pic:spPr>
                </pic:pic>
              </a:graphicData>
            </a:graphic>
          </wp:inline>
        </w:drawing>
      </w:r>
    </w:p>
    <w:p w:rsidR="00D67F96" w:rsidRDefault="00D67F96">
      <w:pPr>
        <w:pStyle w:val="normal"/>
        <w:rPr>
          <w:rFonts w:ascii="Tahoma" w:eastAsia="Tahoma" w:hAnsi="Tahoma" w:cs="Tahoma"/>
          <w:sz w:val="24"/>
          <w:szCs w:val="24"/>
        </w:rPr>
      </w:pPr>
    </w:p>
    <w:p w:rsidR="00D67F96" w:rsidRDefault="008B261C">
      <w:pPr>
        <w:pStyle w:val="normal"/>
        <w:rPr>
          <w:rFonts w:ascii="Tahoma" w:eastAsia="Tahoma" w:hAnsi="Tahoma" w:cs="Tahoma"/>
          <w:b/>
          <w:sz w:val="24"/>
          <w:szCs w:val="24"/>
        </w:rPr>
      </w:pPr>
      <w:r>
        <w:rPr>
          <w:rFonts w:ascii="Tahoma" w:eastAsia="Tahoma" w:hAnsi="Tahoma" w:cs="Tahoma"/>
          <w:b/>
          <w:sz w:val="24"/>
          <w:szCs w:val="24"/>
        </w:rPr>
        <w:t xml:space="preserve">    ΔΙΑΓΩΝΙΣΜΑ ΣΤΗΝ ΙΣΤΟΡΙΑ ΠΡΟΣΑΝΑΤΟΛΙΣΜΟΥ Γ’ ΛΥΚΕΙΟΥ</w:t>
      </w:r>
    </w:p>
    <w:p w:rsidR="00D67F96" w:rsidRDefault="008B261C">
      <w:pPr>
        <w:pStyle w:val="normal"/>
        <w:rPr>
          <w:rFonts w:ascii="Tahoma" w:eastAsia="Tahoma" w:hAnsi="Tahoma" w:cs="Tahoma"/>
          <w:b/>
          <w:sz w:val="24"/>
          <w:szCs w:val="24"/>
        </w:rPr>
      </w:pPr>
      <w:r>
        <w:rPr>
          <w:rFonts w:ascii="Tahoma" w:eastAsia="Tahoma" w:hAnsi="Tahoma" w:cs="Tahoma"/>
          <w:b/>
          <w:sz w:val="24"/>
          <w:szCs w:val="24"/>
        </w:rPr>
        <w:t xml:space="preserve">                                       ΕΦ’ ΟΛΗΣ ΤΗΣ ΥΛΗΣ</w:t>
      </w:r>
    </w:p>
    <w:p w:rsidR="00D67F96" w:rsidRDefault="00D67F96">
      <w:pPr>
        <w:pStyle w:val="normal"/>
        <w:rPr>
          <w:rFonts w:ascii="Verdana" w:eastAsia="Verdana" w:hAnsi="Verdana" w:cs="Verdana"/>
          <w:b/>
        </w:rPr>
      </w:pPr>
    </w:p>
    <w:p w:rsidR="00D67F96" w:rsidRDefault="00D67F96">
      <w:pPr>
        <w:pStyle w:val="normal"/>
        <w:rPr>
          <w:rFonts w:ascii="Verdana" w:eastAsia="Verdana" w:hAnsi="Verdana" w:cs="Verdana"/>
        </w:rPr>
      </w:pPr>
    </w:p>
    <w:p w:rsidR="00D67F96" w:rsidRDefault="008B261C">
      <w:pPr>
        <w:pStyle w:val="normal"/>
        <w:rPr>
          <w:rFonts w:ascii="Verdana" w:eastAsia="Verdana" w:hAnsi="Verdana" w:cs="Verdana"/>
          <w:b/>
        </w:rPr>
      </w:pPr>
      <w:r>
        <w:rPr>
          <w:rFonts w:ascii="Verdana" w:eastAsia="Verdana" w:hAnsi="Verdana" w:cs="Verdana"/>
          <w:b/>
        </w:rPr>
        <w:t xml:space="preserve">                                          ΟΜΑΔΑ Α’</w:t>
      </w:r>
    </w:p>
    <w:p w:rsidR="00D67F96" w:rsidRDefault="008B261C">
      <w:pPr>
        <w:pStyle w:val="normal"/>
        <w:rPr>
          <w:rFonts w:ascii="Verdana" w:eastAsia="Verdana" w:hAnsi="Verdana" w:cs="Verdana"/>
          <w:b/>
        </w:rPr>
      </w:pPr>
      <w:r>
        <w:rPr>
          <w:rFonts w:ascii="Verdana" w:eastAsia="Verdana" w:hAnsi="Verdana" w:cs="Verdana"/>
          <w:b/>
        </w:rPr>
        <w:t>Α1.</w:t>
      </w:r>
      <w:r>
        <w:rPr>
          <w:rFonts w:ascii="Verdana" w:eastAsia="Verdana" w:hAnsi="Verdana" w:cs="Verdana"/>
        </w:rPr>
        <w:t xml:space="preserve"> Να γράψετε τους ορισμούς: Πανελλήνιον, Ανόρθωση, Μικτή Επιτροπή Ανταλλαγής, Προσωρινή Κυβέρνηση Κρήτης.</w:t>
      </w:r>
    </w:p>
    <w:p w:rsidR="00D67F96" w:rsidRDefault="008B261C">
      <w:pPr>
        <w:pStyle w:val="normal"/>
        <w:rPr>
          <w:rFonts w:ascii="Verdana" w:eastAsia="Verdana" w:hAnsi="Verdana" w:cs="Verdana"/>
          <w:b/>
        </w:rPr>
      </w:pPr>
      <w:r>
        <w:rPr>
          <w:rFonts w:ascii="Verdana" w:eastAsia="Verdana" w:hAnsi="Verdana" w:cs="Verdana"/>
          <w:b/>
        </w:rPr>
        <w:t>12 μονάδες</w:t>
      </w:r>
    </w:p>
    <w:p w:rsidR="00D67F96" w:rsidRDefault="00D67F96">
      <w:pPr>
        <w:pStyle w:val="normal"/>
        <w:rPr>
          <w:rFonts w:ascii="Verdana" w:eastAsia="Verdana" w:hAnsi="Verdana" w:cs="Verdana"/>
        </w:rPr>
      </w:pPr>
    </w:p>
    <w:p w:rsidR="00D67F96" w:rsidRDefault="008B261C">
      <w:pPr>
        <w:pStyle w:val="normal"/>
        <w:rPr>
          <w:rFonts w:ascii="Verdana" w:eastAsia="Verdana" w:hAnsi="Verdana" w:cs="Verdana"/>
        </w:rPr>
      </w:pPr>
      <w:r>
        <w:rPr>
          <w:rFonts w:ascii="Verdana" w:eastAsia="Verdana" w:hAnsi="Verdana" w:cs="Verdana"/>
          <w:b/>
        </w:rPr>
        <w:t>Α2.</w:t>
      </w:r>
      <w:r>
        <w:rPr>
          <w:rFonts w:ascii="Verdana" w:eastAsia="Verdana" w:hAnsi="Verdana" w:cs="Verdana"/>
        </w:rPr>
        <w:t xml:space="preserve"> Να χαρακτηρίσετε τις επόμενες προτάσεις σωστές ή λανθασμένες.</w:t>
      </w:r>
    </w:p>
    <w:p w:rsidR="00D67F96" w:rsidRDefault="008B261C">
      <w:pPr>
        <w:pStyle w:val="normal"/>
        <w:rPr>
          <w:rFonts w:ascii="Verdana" w:eastAsia="Verdana" w:hAnsi="Verdana" w:cs="Verdana"/>
        </w:rPr>
      </w:pPr>
      <w:r>
        <w:rPr>
          <w:rFonts w:ascii="Verdana" w:eastAsia="Verdana" w:hAnsi="Verdana" w:cs="Verdana"/>
        </w:rPr>
        <w:t>α) Στη διάρκεια των Βαλκανικών πολέμων, οι πιέσεις που δέχτηκε η ελληνική</w:t>
      </w:r>
      <w:r>
        <w:rPr>
          <w:rFonts w:ascii="Verdana" w:eastAsia="Verdana" w:hAnsi="Verdana" w:cs="Verdana"/>
        </w:rPr>
        <w:t xml:space="preserve"> κοινωνία, η εμπλοκή της σε διεθνείς υποθέσεις και ο αντίκτυπος της ρωσικής επανάστασης οδήγησαν το εργατικό και το σοσιαλιστικό κίνημα σε ταχύτατη ωρίμανση.</w:t>
      </w:r>
    </w:p>
    <w:p w:rsidR="00D67F96" w:rsidRDefault="008B261C">
      <w:pPr>
        <w:pStyle w:val="normal"/>
        <w:rPr>
          <w:rFonts w:ascii="Verdana" w:eastAsia="Verdana" w:hAnsi="Verdana" w:cs="Verdana"/>
        </w:rPr>
      </w:pPr>
      <w:r>
        <w:rPr>
          <w:rFonts w:ascii="Verdana" w:eastAsia="Verdana" w:hAnsi="Verdana" w:cs="Verdana"/>
        </w:rPr>
        <w:t>β) Το τρικουπικό κόμμα ήδη από το 1875 παρουσίασε ένα συστηματικό πρόγραμμα εκσυγχρονισμού της χώρ</w:t>
      </w:r>
      <w:r>
        <w:rPr>
          <w:rFonts w:ascii="Verdana" w:eastAsia="Verdana" w:hAnsi="Verdana" w:cs="Verdana"/>
        </w:rPr>
        <w:t>ας, αρκετά κοντά στις αντιλήψεις του Κουμουνδούρου.</w:t>
      </w:r>
    </w:p>
    <w:p w:rsidR="00D67F96" w:rsidRDefault="008B261C">
      <w:pPr>
        <w:pStyle w:val="normal"/>
        <w:rPr>
          <w:rFonts w:ascii="Verdana" w:eastAsia="Verdana" w:hAnsi="Verdana" w:cs="Verdana"/>
        </w:rPr>
      </w:pPr>
      <w:r>
        <w:rPr>
          <w:rFonts w:ascii="Verdana" w:eastAsia="Verdana" w:hAnsi="Verdana" w:cs="Verdana"/>
        </w:rPr>
        <w:t>γ) Η έλλειψη γεωργικών εκτάσεων προς διανομή στους πρόσφυγες υποχρέωσε το κράτος να αναλάβει την κατασκευή μεγάλων εγγειοβελτιωτικών έργων, κυρίως στη Στερεά Ελλάδα, και έτσι αυξήθηκαν οι καλλιεργήσιμες ε</w:t>
      </w:r>
      <w:r>
        <w:rPr>
          <w:rFonts w:ascii="Verdana" w:eastAsia="Verdana" w:hAnsi="Verdana" w:cs="Verdana"/>
        </w:rPr>
        <w:t>κτάσεις.</w:t>
      </w:r>
    </w:p>
    <w:p w:rsidR="00D67F96" w:rsidRDefault="008B261C">
      <w:pPr>
        <w:pStyle w:val="normal"/>
        <w:rPr>
          <w:rFonts w:ascii="Verdana" w:eastAsia="Verdana" w:hAnsi="Verdana" w:cs="Verdana"/>
        </w:rPr>
      </w:pPr>
      <w:r>
        <w:rPr>
          <w:rFonts w:ascii="Verdana" w:eastAsia="Verdana" w:hAnsi="Verdana" w:cs="Verdana"/>
        </w:rPr>
        <w:t>δ) Στις 14 Φεβρουαρίου 1913 αφαιρέθηκαν από το φρούριο του Φιρκά οι σημαίες των Μ. Δυνάμεων και της Τουρκίας.</w:t>
      </w:r>
    </w:p>
    <w:p w:rsidR="00D67F96" w:rsidRDefault="008B261C">
      <w:pPr>
        <w:pStyle w:val="normal"/>
        <w:rPr>
          <w:rFonts w:ascii="Verdana" w:eastAsia="Verdana" w:hAnsi="Verdana" w:cs="Verdana"/>
        </w:rPr>
      </w:pPr>
      <w:r>
        <w:rPr>
          <w:rFonts w:ascii="Verdana" w:eastAsia="Verdana" w:hAnsi="Verdana" w:cs="Verdana"/>
        </w:rPr>
        <w:t>ε) Ένας από τους λόγους που δημιουργήθηκαν πελατειακά δίκτυα επί τουρκοκρατίας ήταν η επαρκής παροχή προστασίας από την οθωμανική διοίκησ</w:t>
      </w:r>
      <w:r>
        <w:rPr>
          <w:rFonts w:ascii="Verdana" w:eastAsia="Verdana" w:hAnsi="Verdana" w:cs="Verdana"/>
        </w:rPr>
        <w:t>η προς του υπηκόους της σε περίπτωση αυθαιρεσιών.</w:t>
      </w:r>
    </w:p>
    <w:p w:rsidR="00D67F96" w:rsidRDefault="008B261C">
      <w:pPr>
        <w:pStyle w:val="normal"/>
        <w:rPr>
          <w:rFonts w:ascii="Verdana" w:eastAsia="Verdana" w:hAnsi="Verdana" w:cs="Verdana"/>
        </w:rPr>
      </w:pPr>
      <w:r>
        <w:rPr>
          <w:rFonts w:ascii="Verdana" w:eastAsia="Verdana" w:hAnsi="Verdana" w:cs="Verdana"/>
        </w:rPr>
        <w:lastRenderedPageBreak/>
        <w:t>στ) Σημαντική πολιτική τομή της περιόδου 1923-1928 ήταν η ψήφιση νέου συντάγματος, διαδικασία που ξεκίνησε το 1924 και ολοκληρώθηκε το 1926.</w:t>
      </w:r>
    </w:p>
    <w:p w:rsidR="00D67F96" w:rsidRDefault="008B261C">
      <w:pPr>
        <w:pStyle w:val="normal"/>
        <w:rPr>
          <w:rFonts w:ascii="Verdana" w:eastAsia="Verdana" w:hAnsi="Verdana" w:cs="Verdana"/>
        </w:rPr>
      </w:pPr>
      <w:r>
        <w:rPr>
          <w:rFonts w:ascii="Verdana" w:eastAsia="Verdana" w:hAnsi="Verdana" w:cs="Verdana"/>
        </w:rPr>
        <w:t>ζ) Οι Κάσιοι πρόσφυγες επεδίωξαν να μεταναστεύσουν το 1838 στην Ν</w:t>
      </w:r>
      <w:r>
        <w:rPr>
          <w:rFonts w:ascii="Verdana" w:eastAsia="Verdana" w:hAnsi="Verdana" w:cs="Verdana"/>
        </w:rPr>
        <w:t>αύπακτο.</w:t>
      </w:r>
    </w:p>
    <w:p w:rsidR="00D67F96" w:rsidRDefault="008B261C">
      <w:pPr>
        <w:pStyle w:val="normal"/>
        <w:rPr>
          <w:rFonts w:ascii="Verdana" w:eastAsia="Verdana" w:hAnsi="Verdana" w:cs="Verdana"/>
        </w:rPr>
      </w:pPr>
      <w:r>
        <w:rPr>
          <w:rFonts w:ascii="Verdana" w:eastAsia="Verdana" w:hAnsi="Verdana" w:cs="Verdana"/>
        </w:rPr>
        <w:t>η) Στην απογραφή του 1828 καταγράφηκαν 1.220.000 πρόσφυγες.</w:t>
      </w:r>
    </w:p>
    <w:p w:rsidR="00D67F96" w:rsidRDefault="008B261C">
      <w:pPr>
        <w:pStyle w:val="normal"/>
        <w:rPr>
          <w:rFonts w:ascii="Verdana" w:eastAsia="Verdana" w:hAnsi="Verdana" w:cs="Verdana"/>
          <w:b/>
        </w:rPr>
      </w:pPr>
      <w:r>
        <w:rPr>
          <w:rFonts w:ascii="Verdana" w:eastAsia="Verdana" w:hAnsi="Verdana" w:cs="Verdana"/>
          <w:b/>
        </w:rPr>
        <w:t>Μονάδες 8</w:t>
      </w:r>
    </w:p>
    <w:p w:rsidR="00D67F96" w:rsidRDefault="00D67F96">
      <w:pPr>
        <w:pStyle w:val="normal"/>
        <w:rPr>
          <w:rFonts w:ascii="Verdana" w:eastAsia="Verdana" w:hAnsi="Verdana" w:cs="Verdana"/>
        </w:rPr>
      </w:pPr>
    </w:p>
    <w:p w:rsidR="00D67F96" w:rsidRDefault="00D67F96">
      <w:pPr>
        <w:pStyle w:val="normal"/>
        <w:rPr>
          <w:rFonts w:ascii="Verdana" w:eastAsia="Verdana" w:hAnsi="Verdana" w:cs="Verdana"/>
        </w:rPr>
      </w:pPr>
    </w:p>
    <w:p w:rsidR="00D67F96" w:rsidRDefault="008B261C">
      <w:pPr>
        <w:pStyle w:val="normal"/>
        <w:rPr>
          <w:rFonts w:ascii="Verdana" w:eastAsia="Verdana" w:hAnsi="Verdana" w:cs="Verdana"/>
        </w:rPr>
      </w:pPr>
      <w:r>
        <w:rPr>
          <w:rFonts w:ascii="Verdana" w:eastAsia="Verdana" w:hAnsi="Verdana" w:cs="Verdana"/>
          <w:b/>
        </w:rPr>
        <w:t>Β1.</w:t>
      </w:r>
      <w:r>
        <w:rPr>
          <w:rFonts w:ascii="Verdana" w:eastAsia="Verdana" w:hAnsi="Verdana" w:cs="Verdana"/>
        </w:rPr>
        <w:t xml:space="preserve"> Να περιγράψετε τη συμπεριφορά των ομογενών από το 1870 μέχρι το 1900 αναλύοντας τις μορφές και τον χαρακτήρα των επενδύσεών τους.         </w:t>
      </w:r>
      <w:r>
        <w:rPr>
          <w:rFonts w:ascii="Verdana" w:eastAsia="Verdana" w:hAnsi="Verdana" w:cs="Verdana"/>
          <w:b/>
        </w:rPr>
        <w:t>15 μονάδες</w:t>
      </w:r>
    </w:p>
    <w:p w:rsidR="00D67F96" w:rsidRDefault="008B261C">
      <w:pPr>
        <w:pStyle w:val="normal"/>
        <w:rPr>
          <w:rFonts w:ascii="Verdana" w:eastAsia="Verdana" w:hAnsi="Verdana" w:cs="Verdana"/>
        </w:rPr>
      </w:pPr>
      <w:r>
        <w:rPr>
          <w:rFonts w:ascii="Verdana" w:eastAsia="Verdana" w:hAnsi="Verdana" w:cs="Verdana"/>
          <w:b/>
        </w:rPr>
        <w:t>Β2.</w:t>
      </w:r>
      <w:r>
        <w:rPr>
          <w:rFonts w:ascii="Verdana" w:eastAsia="Verdana" w:hAnsi="Verdana" w:cs="Verdana"/>
        </w:rPr>
        <w:t xml:space="preserve"> Ποιο ήταν το έργο </w:t>
      </w:r>
      <w:r>
        <w:rPr>
          <w:rFonts w:ascii="Verdana" w:eastAsia="Verdana" w:hAnsi="Verdana" w:cs="Verdana"/>
        </w:rPr>
        <w:t>της Επιτροπής Αποκατάστασης Προσφύγων και πώς αποτιμάται;</w:t>
      </w:r>
    </w:p>
    <w:p w:rsidR="00D67F96" w:rsidRDefault="008B261C">
      <w:pPr>
        <w:pStyle w:val="normal"/>
        <w:rPr>
          <w:rFonts w:ascii="Verdana" w:eastAsia="Verdana" w:hAnsi="Verdana" w:cs="Verdana"/>
          <w:b/>
        </w:rPr>
      </w:pPr>
      <w:r>
        <w:rPr>
          <w:rFonts w:ascii="Verdana" w:eastAsia="Verdana" w:hAnsi="Verdana" w:cs="Verdana"/>
          <w:b/>
        </w:rPr>
        <w:t>15 μονάδες</w:t>
      </w:r>
    </w:p>
    <w:p w:rsidR="00D67F96" w:rsidRDefault="00D67F96">
      <w:pPr>
        <w:pStyle w:val="normal"/>
        <w:rPr>
          <w:rFonts w:ascii="Verdana" w:eastAsia="Verdana" w:hAnsi="Verdana" w:cs="Verdana"/>
        </w:rPr>
      </w:pPr>
    </w:p>
    <w:p w:rsidR="00D67F96" w:rsidRDefault="00D67F96">
      <w:pPr>
        <w:pStyle w:val="normal"/>
        <w:rPr>
          <w:rFonts w:ascii="Verdana" w:eastAsia="Verdana" w:hAnsi="Verdana" w:cs="Verdana"/>
        </w:rPr>
      </w:pPr>
    </w:p>
    <w:p w:rsidR="00D67F96" w:rsidRDefault="008B261C">
      <w:pPr>
        <w:pStyle w:val="normal"/>
        <w:rPr>
          <w:rFonts w:ascii="Verdana" w:eastAsia="Verdana" w:hAnsi="Verdana" w:cs="Verdana"/>
          <w:b/>
        </w:rPr>
      </w:pPr>
      <w:r>
        <w:rPr>
          <w:rFonts w:ascii="Verdana" w:eastAsia="Verdana" w:hAnsi="Verdana" w:cs="Verdana"/>
          <w:b/>
        </w:rPr>
        <w:t xml:space="preserve">                                            ΟΜΑΔΑ Β’</w:t>
      </w:r>
    </w:p>
    <w:p w:rsidR="00D67F96" w:rsidRDefault="008B261C">
      <w:pPr>
        <w:pStyle w:val="normal"/>
        <w:rPr>
          <w:rFonts w:ascii="Verdana" w:eastAsia="Verdana" w:hAnsi="Verdana" w:cs="Verdana"/>
          <w:b/>
        </w:rPr>
      </w:pPr>
      <w:r>
        <w:rPr>
          <w:rFonts w:ascii="Verdana" w:eastAsia="Verdana" w:hAnsi="Verdana" w:cs="Verdana"/>
          <w:b/>
        </w:rPr>
        <w:t>Γ.</w:t>
      </w:r>
      <w:r>
        <w:rPr>
          <w:rFonts w:ascii="Verdana" w:eastAsia="Verdana" w:hAnsi="Verdana" w:cs="Verdana"/>
        </w:rPr>
        <w:t xml:space="preserve"> Με βάση τις ιστορικές σας γνώσεις και το περιεχόμενο του επόμενου πίνακα και των κειμένων που ακολουθούν, να αναφερθείτε στην πορ</w:t>
      </w:r>
      <w:r>
        <w:rPr>
          <w:rFonts w:ascii="Verdana" w:eastAsia="Verdana" w:hAnsi="Verdana" w:cs="Verdana"/>
        </w:rPr>
        <w:t xml:space="preserve">εία του εξωτερικού εμπορίου της Ελλάδας στη διάρκεια του 19ου αιώνα και την πρώτη δεκαετία του 20ου αιώνα. </w:t>
      </w:r>
      <w:r>
        <w:rPr>
          <w:rFonts w:ascii="Verdana" w:eastAsia="Verdana" w:hAnsi="Verdana" w:cs="Verdana"/>
          <w:b/>
        </w:rPr>
        <w:t>(Μονάδες 25)</w:t>
      </w:r>
    </w:p>
    <w:p w:rsidR="00D67F96" w:rsidRDefault="00D67F96">
      <w:pPr>
        <w:pStyle w:val="normal"/>
        <w:rPr>
          <w:rFonts w:ascii="Verdana" w:eastAsia="Verdana" w:hAnsi="Verdana" w:cs="Verdana"/>
        </w:rPr>
      </w:pPr>
    </w:p>
    <w:p w:rsidR="00D67F96" w:rsidRDefault="00D67F96">
      <w:pPr>
        <w:pStyle w:val="normal"/>
        <w:rPr>
          <w:rFonts w:ascii="Verdana" w:eastAsia="Verdana" w:hAnsi="Verdana" w:cs="Verdana"/>
        </w:rPr>
      </w:pPr>
    </w:p>
    <w:p w:rsidR="00D67F96" w:rsidRDefault="008B261C">
      <w:pPr>
        <w:pStyle w:val="normal"/>
        <w:rPr>
          <w:rFonts w:ascii="Verdana" w:eastAsia="Verdana" w:hAnsi="Verdana" w:cs="Verdana"/>
          <w:b/>
        </w:rPr>
      </w:pPr>
      <w:r>
        <w:rPr>
          <w:rFonts w:ascii="Verdana" w:eastAsia="Verdana" w:hAnsi="Verdana" w:cs="Verdana"/>
          <w:b/>
        </w:rPr>
        <w:t>ΠΙΝΑΚΑΣ 1</w:t>
      </w:r>
    </w:p>
    <w:p w:rsidR="00D67F96" w:rsidRDefault="008B261C">
      <w:pPr>
        <w:pStyle w:val="normal"/>
        <w:rPr>
          <w:rFonts w:ascii="Verdana" w:eastAsia="Verdana" w:hAnsi="Verdana" w:cs="Verdana"/>
        </w:rPr>
      </w:pPr>
      <w:r>
        <w:rPr>
          <w:rFonts w:ascii="Verdana" w:eastAsia="Verdana" w:hAnsi="Verdana" w:cs="Verdana"/>
        </w:rPr>
        <w:t>Το εξωτερικό εμπόριο της Ελλάδας - Μ.Ο. δεκαετιών 1860-1870 και 1900-1910.</w:t>
      </w:r>
    </w:p>
    <w:p w:rsidR="00D67F96" w:rsidRDefault="00D67F96">
      <w:pPr>
        <w:pStyle w:val="normal"/>
        <w:rPr>
          <w:rFonts w:ascii="Verdana" w:eastAsia="Verdana" w:hAnsi="Verdana" w:cs="Verdana"/>
        </w:rPr>
      </w:pPr>
    </w:p>
    <w:p w:rsidR="00D67F96" w:rsidRDefault="008B261C">
      <w:pPr>
        <w:pStyle w:val="normal"/>
        <w:pBdr>
          <w:bottom w:val="single" w:sz="4" w:space="1" w:color="000000"/>
        </w:pBdr>
        <w:rPr>
          <w:rFonts w:ascii="Verdana" w:eastAsia="Verdana" w:hAnsi="Verdana" w:cs="Verdana"/>
        </w:rPr>
      </w:pPr>
      <w:r>
        <w:rPr>
          <w:rFonts w:ascii="Verdana" w:eastAsia="Verdana" w:hAnsi="Verdana" w:cs="Verdana"/>
        </w:rPr>
        <w:t xml:space="preserve">                                    1860-1870                    1900-1910</w:t>
      </w:r>
    </w:p>
    <w:p w:rsidR="00D67F96" w:rsidRDefault="008B261C">
      <w:pPr>
        <w:pStyle w:val="normal"/>
        <w:rPr>
          <w:rFonts w:ascii="Verdana" w:eastAsia="Verdana" w:hAnsi="Verdana" w:cs="Verdana"/>
        </w:rPr>
      </w:pPr>
      <w:r>
        <w:rPr>
          <w:rFonts w:ascii="Verdana" w:eastAsia="Verdana" w:hAnsi="Verdana" w:cs="Verdana"/>
        </w:rPr>
        <w:t xml:space="preserve">  ΠΟΛΗ                      Εισαγωγές    Εξαγωγές  Εισαγωγές Εξαγωγές</w:t>
      </w:r>
    </w:p>
    <w:p w:rsidR="00D67F96" w:rsidRDefault="008B261C">
      <w:pPr>
        <w:pStyle w:val="normal"/>
        <w:rPr>
          <w:rFonts w:ascii="Verdana" w:eastAsia="Verdana" w:hAnsi="Verdana" w:cs="Verdana"/>
        </w:rPr>
      </w:pPr>
      <w:r>
        <w:rPr>
          <w:rFonts w:ascii="Verdana" w:eastAsia="Verdana" w:hAnsi="Verdana" w:cs="Verdana"/>
        </w:rPr>
        <w:t>Αγροτικά προϊόντα                 31%     63%       36%        75%</w:t>
      </w:r>
    </w:p>
    <w:p w:rsidR="00D67F96" w:rsidRDefault="008B261C">
      <w:pPr>
        <w:pStyle w:val="normal"/>
        <w:rPr>
          <w:rFonts w:ascii="Verdana" w:eastAsia="Verdana" w:hAnsi="Verdana" w:cs="Verdana"/>
        </w:rPr>
      </w:pPr>
      <w:r>
        <w:rPr>
          <w:rFonts w:ascii="Verdana" w:eastAsia="Verdana" w:hAnsi="Verdana" w:cs="Verdana"/>
        </w:rPr>
        <w:t>Βιομηχανικά προϊόντα             24%       7</w:t>
      </w:r>
      <w:r>
        <w:rPr>
          <w:rFonts w:ascii="Verdana" w:eastAsia="Verdana" w:hAnsi="Verdana" w:cs="Verdana"/>
        </w:rPr>
        <w:t>%       30%         2%</w:t>
      </w:r>
    </w:p>
    <w:p w:rsidR="00D67F96" w:rsidRDefault="008B261C">
      <w:pPr>
        <w:pStyle w:val="normal"/>
        <w:rPr>
          <w:rFonts w:ascii="Verdana" w:eastAsia="Verdana" w:hAnsi="Verdana" w:cs="Verdana"/>
        </w:rPr>
      </w:pPr>
      <w:r>
        <w:rPr>
          <w:rFonts w:ascii="Verdana" w:eastAsia="Verdana" w:hAnsi="Verdana" w:cs="Verdana"/>
        </w:rPr>
        <w:t>Πρώτες ύλες                          12%      17%      18%         22%</w:t>
      </w:r>
    </w:p>
    <w:p w:rsidR="00D67F96" w:rsidRDefault="00D67F96">
      <w:pPr>
        <w:pStyle w:val="normal"/>
        <w:rPr>
          <w:rFonts w:ascii="Verdana" w:eastAsia="Verdana" w:hAnsi="Verdana" w:cs="Verdana"/>
        </w:rPr>
      </w:pPr>
    </w:p>
    <w:p w:rsidR="00D67F96" w:rsidRDefault="008B261C">
      <w:pPr>
        <w:pStyle w:val="normal"/>
        <w:rPr>
          <w:rFonts w:ascii="Verdana" w:eastAsia="Verdana" w:hAnsi="Verdana" w:cs="Verdana"/>
          <w:b/>
        </w:rPr>
      </w:pPr>
      <w:r>
        <w:rPr>
          <w:rFonts w:ascii="Verdana" w:eastAsia="Verdana" w:hAnsi="Verdana" w:cs="Verdana"/>
          <w:b/>
        </w:rPr>
        <w:t>ΚΕΙΜΕΝΟ 1</w:t>
      </w:r>
    </w:p>
    <w:p w:rsidR="00D67F96" w:rsidRDefault="00D67F96">
      <w:pPr>
        <w:pStyle w:val="normal"/>
        <w:rPr>
          <w:rFonts w:ascii="Verdana" w:eastAsia="Verdana" w:hAnsi="Verdana" w:cs="Verdana"/>
        </w:rPr>
      </w:pPr>
    </w:p>
    <w:p w:rsidR="00D67F96" w:rsidRDefault="008B261C">
      <w:pPr>
        <w:pStyle w:val="normal"/>
        <w:rPr>
          <w:rFonts w:ascii="Verdana" w:eastAsia="Verdana" w:hAnsi="Verdana" w:cs="Verdana"/>
          <w:b/>
        </w:rPr>
      </w:pPr>
      <w:r>
        <w:rPr>
          <w:rFonts w:ascii="Verdana" w:eastAsia="Verdana" w:hAnsi="Verdana" w:cs="Verdana"/>
          <w:b/>
        </w:rPr>
        <w:t>ΠΤΩΣΗ ΤΩΝ ΕΞΑΓΩΓΩΝ ΤΩΝ ΚΑΤΕΡΓΑΣΜΕΝΩΝ ∆ΕΡΜΑΤΩΝ</w:t>
      </w:r>
    </w:p>
    <w:p w:rsidR="00D67F96" w:rsidRDefault="00D67F96">
      <w:pPr>
        <w:pStyle w:val="normal"/>
        <w:rPr>
          <w:rFonts w:ascii="Verdana" w:eastAsia="Verdana" w:hAnsi="Verdana" w:cs="Verdana"/>
        </w:rPr>
      </w:pPr>
    </w:p>
    <w:p w:rsidR="00D67F96" w:rsidRDefault="008B261C">
      <w:pPr>
        <w:pStyle w:val="normal"/>
        <w:jc w:val="both"/>
        <w:rPr>
          <w:rFonts w:ascii="Verdana" w:eastAsia="Verdana" w:hAnsi="Verdana" w:cs="Verdana"/>
        </w:rPr>
      </w:pPr>
      <w:r>
        <w:rPr>
          <w:rFonts w:ascii="Verdana" w:eastAsia="Verdana" w:hAnsi="Verdana" w:cs="Verdana"/>
        </w:rPr>
        <w:t>Πιο θεαματική απ’ όλες τις άλλες είναι η πτώση των εξαγωγών των κατεργασμένων δερμάτων· εδώ είναι κυρίω</w:t>
      </w:r>
      <w:r>
        <w:rPr>
          <w:rFonts w:ascii="Verdana" w:eastAsia="Verdana" w:hAnsi="Verdana" w:cs="Verdana"/>
        </w:rPr>
        <w:t xml:space="preserve">ς που η αδυναμία των ελλήνων κατασκευαστών να διαφοροποιηθούν αισθητά από την παραδοσιακή βιοτεχνία της ευρύτερης περιοχής αποδεικνύεται αποφασιστικός παράγοντας. Πράγματι οι μέθοδοι κατεργασίας δεν διαφέρουν ουσιαστικά, ανάμεσα στα μεγάλα καταστήματα της </w:t>
      </w:r>
      <w:r>
        <w:rPr>
          <w:rFonts w:ascii="Verdana" w:eastAsia="Verdana" w:hAnsi="Verdana" w:cs="Verdana"/>
        </w:rPr>
        <w:t>Ερμούπολης και τα άλλα μικρότερα βυρσοδεψεία που φυτρώνουν λίγο - πολύ παντού, κατά τη δεκαετία του 1880, στα νησιά του Αιγαίου, και κυρίως στη Χίο, τη Σάμο και τη Μυτιλήνη. Έτσι, αν οι δύο απότομες κάμψεις της καμπύλης των εξαγωγών (στα 1866-70 και στα 18</w:t>
      </w:r>
      <w:r>
        <w:rPr>
          <w:rFonts w:ascii="Verdana" w:eastAsia="Verdana" w:hAnsi="Verdana" w:cs="Verdana"/>
        </w:rPr>
        <w:t>76-81) οφείλονται στα πολιτικά γεγονότα, η μακροπρόθεσμη πτωτική τάση τους μαρτυρεί τη σταδιακή απώλεια των αγορών της Μικράς Ασίας, της Μέσης Ανατολής, της Βουλγαρίας - Ρωμυλίας και της Αλβανίας, προς όφελος των ανερχόμενων βιομηχανιών της Χίου - Σάμου, α</w:t>
      </w:r>
      <w:r>
        <w:rPr>
          <w:rFonts w:ascii="Verdana" w:eastAsia="Verdana" w:hAnsi="Verdana" w:cs="Verdana"/>
        </w:rPr>
        <w:t>λλά και της Αλεξάνδρειας. Το γεγονός ότι τα βυρσοδεψεία της Ερμούπολης παράγουν δέρματα καλύτερης ποιότητας, δεν μετράει και πολύ για τους καταναλωτές της περιοχής. Από την άλλη μεριά, οι εξαγωγές δερμάτων στη Ρουμανία, που απορροφούσε μεταξύ 1877 και 1882</w:t>
      </w:r>
      <w:r>
        <w:rPr>
          <w:rFonts w:ascii="Verdana" w:eastAsia="Verdana" w:hAnsi="Verdana" w:cs="Verdana"/>
        </w:rPr>
        <w:t xml:space="preserve"> το 25-33% του συνόλου των εξαγωγών, εκλείπουν εντελώς “ένεκα του επιβληθέντος βαρέος δασμού” ( από τα μέσα της δεκαετίας του 1880).(Γενικότερα, η μείωση των ανταλλαγών με τη χώρα αυτή αποδίδεται επίσης και στην παρακμή, αριθμητική και οικονομική, των ελλη</w:t>
      </w:r>
      <w:r>
        <w:rPr>
          <w:rFonts w:ascii="Verdana" w:eastAsia="Verdana" w:hAnsi="Verdana" w:cs="Verdana"/>
        </w:rPr>
        <w:t>νικών παροικιών που άνθιζαν κάποτε στα αστικά κέντρα των παραδουνάβιων περιοχών.)</w:t>
      </w:r>
    </w:p>
    <w:p w:rsidR="00D67F96" w:rsidRDefault="008B261C">
      <w:pPr>
        <w:pStyle w:val="normal"/>
        <w:rPr>
          <w:rFonts w:ascii="Verdana" w:eastAsia="Verdana" w:hAnsi="Verdana" w:cs="Verdana"/>
          <w:b/>
          <w:i/>
        </w:rPr>
      </w:pPr>
      <w:r>
        <w:rPr>
          <w:rFonts w:ascii="Verdana" w:eastAsia="Verdana" w:hAnsi="Verdana" w:cs="Verdana"/>
          <w:b/>
          <w:i/>
        </w:rPr>
        <w:t>Χ. Αγριαντώνη, ΚΕΕ</w:t>
      </w:r>
    </w:p>
    <w:p w:rsidR="00D67F96" w:rsidRDefault="00D67F96">
      <w:pPr>
        <w:pStyle w:val="normal"/>
        <w:rPr>
          <w:rFonts w:ascii="Verdana" w:eastAsia="Verdana" w:hAnsi="Verdana" w:cs="Verdana"/>
        </w:rPr>
      </w:pPr>
    </w:p>
    <w:p w:rsidR="00D67F96" w:rsidRDefault="00D67F96">
      <w:pPr>
        <w:pStyle w:val="normal"/>
        <w:rPr>
          <w:rFonts w:ascii="Verdana" w:eastAsia="Verdana" w:hAnsi="Verdana" w:cs="Verdana"/>
        </w:rPr>
      </w:pPr>
    </w:p>
    <w:p w:rsidR="00D67F96" w:rsidRDefault="00D67F96">
      <w:pPr>
        <w:pStyle w:val="normal"/>
        <w:rPr>
          <w:rFonts w:ascii="Verdana" w:eastAsia="Verdana" w:hAnsi="Verdana" w:cs="Verdana"/>
        </w:rPr>
      </w:pPr>
    </w:p>
    <w:p w:rsidR="00D67F96" w:rsidRDefault="00D67F96">
      <w:pPr>
        <w:pStyle w:val="normal"/>
        <w:rPr>
          <w:rFonts w:ascii="Verdana" w:eastAsia="Verdana" w:hAnsi="Verdana" w:cs="Verdana"/>
        </w:rPr>
      </w:pPr>
    </w:p>
    <w:p w:rsidR="00D67F96" w:rsidRDefault="008B261C">
      <w:pPr>
        <w:pStyle w:val="normal"/>
        <w:rPr>
          <w:rFonts w:ascii="Verdana" w:eastAsia="Verdana" w:hAnsi="Verdana" w:cs="Verdana"/>
          <w:b/>
        </w:rPr>
      </w:pPr>
      <w:r>
        <w:rPr>
          <w:rFonts w:ascii="Verdana" w:eastAsia="Verdana" w:hAnsi="Verdana" w:cs="Verdana"/>
          <w:b/>
        </w:rPr>
        <w:t>Δ.</w:t>
      </w:r>
      <w:r>
        <w:rPr>
          <w:rFonts w:ascii="Verdana" w:eastAsia="Verdana" w:hAnsi="Verdana" w:cs="Verdana"/>
        </w:rPr>
        <w:t xml:space="preserve"> Με βάση τις πληροφορίες του επόμενου κειμένου και τις ιστορικές σας γνώσεις να αναφερθείτε στα προοδευτικά και τα συντηρητικά στοιχεία του Συντάγματ</w:t>
      </w:r>
      <w:r>
        <w:rPr>
          <w:rFonts w:ascii="Verdana" w:eastAsia="Verdana" w:hAnsi="Verdana" w:cs="Verdana"/>
        </w:rPr>
        <w:t>ος του 1844</w:t>
      </w:r>
      <w:r>
        <w:rPr>
          <w:rFonts w:ascii="Verdana" w:eastAsia="Verdana" w:hAnsi="Verdana" w:cs="Verdana"/>
          <w:b/>
        </w:rPr>
        <w:t>.(Μονάδες 25)</w:t>
      </w:r>
    </w:p>
    <w:p w:rsidR="00D67F96" w:rsidRDefault="008B261C">
      <w:pPr>
        <w:pStyle w:val="normal"/>
        <w:rPr>
          <w:rFonts w:ascii="Verdana" w:eastAsia="Verdana" w:hAnsi="Verdana" w:cs="Verdana"/>
          <w:b/>
        </w:rPr>
      </w:pPr>
      <w:r>
        <w:rPr>
          <w:rFonts w:ascii="Verdana" w:eastAsia="Verdana" w:hAnsi="Verdana" w:cs="Verdana"/>
        </w:rPr>
        <w:t>Προοδευτικά και αντιδραστικά άρθρα του Συντάγματος</w:t>
      </w:r>
    </w:p>
    <w:p w:rsidR="00D67F96" w:rsidRDefault="008B261C">
      <w:pPr>
        <w:pStyle w:val="normal"/>
        <w:jc w:val="both"/>
        <w:rPr>
          <w:rFonts w:ascii="Verdana" w:eastAsia="Verdana" w:hAnsi="Verdana" w:cs="Verdana"/>
        </w:rPr>
      </w:pPr>
      <w:r>
        <w:rPr>
          <w:rFonts w:ascii="Verdana" w:eastAsia="Verdana" w:hAnsi="Verdana" w:cs="Verdana"/>
        </w:rPr>
        <w:t>Αν κι αυτός ακόμα ο Καρολίδης παραδέχεται πως «το καθόλου ελάττωμα ή αμάρτημα του Συντάγματος του 1843 είναι ότι τούτο δεν ήτο εις άκρον φιλελεύθερον, εις άκρον ριζοσπαστικόν, οιον</w:t>
      </w:r>
      <w:r>
        <w:rPr>
          <w:rFonts w:ascii="Verdana" w:eastAsia="Verdana" w:hAnsi="Verdana" w:cs="Verdana"/>
        </w:rPr>
        <w:t xml:space="preserve"> μόνον το συνταγματικόν πολίτευμα ηδύνατο να υπάρχη και να ζη εν Ελλάδι» (τ. γ’, σ. 79) βρίσκομε στο κεφάλαιο «Περί δημοσίου δικαίου των Ελλήνων» άρθρα όπως αυτά:</w:t>
      </w:r>
    </w:p>
    <w:p w:rsidR="00D67F96" w:rsidRDefault="008B261C">
      <w:pPr>
        <w:pStyle w:val="normal"/>
        <w:jc w:val="both"/>
        <w:rPr>
          <w:rFonts w:ascii="Verdana" w:eastAsia="Verdana" w:hAnsi="Verdana" w:cs="Verdana"/>
        </w:rPr>
      </w:pPr>
      <w:r>
        <w:rPr>
          <w:rFonts w:ascii="Verdana" w:eastAsia="Verdana" w:hAnsi="Verdana" w:cs="Verdana"/>
        </w:rPr>
        <w:t>Άρθρο 3. Οι Έλληνες είναι ίσοι ενώπιον του Νόμου και συνεισφέρουσιν αδιακρίτως εις τα δημόσια</w:t>
      </w:r>
      <w:r>
        <w:rPr>
          <w:rFonts w:ascii="Verdana" w:eastAsia="Verdana" w:hAnsi="Verdana" w:cs="Verdana"/>
        </w:rPr>
        <w:t xml:space="preserve"> αναλόγως της περιουσίας των.</w:t>
      </w:r>
    </w:p>
    <w:p w:rsidR="00D67F96" w:rsidRDefault="008B261C">
      <w:pPr>
        <w:pStyle w:val="normal"/>
        <w:jc w:val="both"/>
        <w:rPr>
          <w:rFonts w:ascii="Verdana" w:eastAsia="Verdana" w:hAnsi="Verdana" w:cs="Verdana"/>
        </w:rPr>
      </w:pPr>
      <w:r>
        <w:rPr>
          <w:rFonts w:ascii="Verdana" w:eastAsia="Verdana" w:hAnsi="Verdana" w:cs="Verdana"/>
        </w:rPr>
        <w:t>Άρθρο 4. Η προσωπική ελευθερία είναι απαραβίαστος· ουδείς καταδιώκεται, συλλαμβάνεται, φυλακίζεται ή άλλως πως περιορίζεται ειμή οπόταν και όπως ο Νόμος ορίζη.</w:t>
      </w:r>
    </w:p>
    <w:p w:rsidR="00D67F96" w:rsidRDefault="008B261C">
      <w:pPr>
        <w:pStyle w:val="normal"/>
        <w:jc w:val="both"/>
        <w:rPr>
          <w:rFonts w:ascii="Verdana" w:eastAsia="Verdana" w:hAnsi="Verdana" w:cs="Verdana"/>
        </w:rPr>
      </w:pPr>
      <w:r>
        <w:rPr>
          <w:rFonts w:ascii="Verdana" w:eastAsia="Verdana" w:hAnsi="Verdana" w:cs="Verdana"/>
        </w:rPr>
        <w:t>Άρθρο 8. Η κατοικία εκάστου είναι άσυλον· ουδεμία κατ’ οίκον έρευν</w:t>
      </w:r>
      <w:r>
        <w:rPr>
          <w:rFonts w:ascii="Verdana" w:eastAsia="Verdana" w:hAnsi="Verdana" w:cs="Verdana"/>
        </w:rPr>
        <w:t>α ενεργείται ειμή όταν και όπως ο Νόμος διατάσση.</w:t>
      </w:r>
    </w:p>
    <w:p w:rsidR="00D67F96" w:rsidRDefault="008B261C">
      <w:pPr>
        <w:pStyle w:val="normal"/>
        <w:jc w:val="both"/>
        <w:rPr>
          <w:rFonts w:ascii="Verdana" w:eastAsia="Verdana" w:hAnsi="Verdana" w:cs="Verdana"/>
        </w:rPr>
      </w:pPr>
      <w:r>
        <w:rPr>
          <w:rFonts w:ascii="Verdana" w:eastAsia="Verdana" w:hAnsi="Verdana" w:cs="Verdana"/>
        </w:rPr>
        <w:t>Άρθρο 9. Εν Ελλάδι ούτε πωλείται ούτε αγοράζεται άνθρωπος. Αργυρώνητος ή δούλος παντός γένους και πάσης θρησκείας είναι ελεύθερος άμα πατήση επί Ελληνικού εδάφους.</w:t>
      </w:r>
    </w:p>
    <w:p w:rsidR="00D67F96" w:rsidRDefault="008B261C">
      <w:pPr>
        <w:pStyle w:val="normal"/>
        <w:jc w:val="both"/>
        <w:rPr>
          <w:rFonts w:ascii="Verdana" w:eastAsia="Verdana" w:hAnsi="Verdana" w:cs="Verdana"/>
        </w:rPr>
      </w:pPr>
      <w:r>
        <w:rPr>
          <w:rFonts w:ascii="Verdana" w:eastAsia="Verdana" w:hAnsi="Verdana" w:cs="Verdana"/>
        </w:rPr>
        <w:t>Άρθρο 13. Αι βάσανοι και η γενική δήμευσις απαγορεύονται.</w:t>
      </w:r>
    </w:p>
    <w:p w:rsidR="00D67F96" w:rsidRDefault="008B261C">
      <w:pPr>
        <w:pStyle w:val="normal"/>
        <w:jc w:val="both"/>
        <w:rPr>
          <w:rFonts w:ascii="Verdana" w:eastAsia="Verdana" w:hAnsi="Verdana" w:cs="Verdana"/>
        </w:rPr>
      </w:pPr>
      <w:r>
        <w:rPr>
          <w:rFonts w:ascii="Verdana" w:eastAsia="Verdana" w:hAnsi="Verdana" w:cs="Verdana"/>
        </w:rPr>
        <w:t>Άρθρο 14. Το απόρρητον των επιστολών είναι απαραβίαστον. Λογαριάζουμε πως αξίζει ακόμα να μνημονέψουμε και τούτα εδώ τα άρθρα από το κεφάλαιο του Συντάγματος για τη δικαστική εξουσία:</w:t>
      </w:r>
    </w:p>
    <w:p w:rsidR="00D67F96" w:rsidRDefault="008B261C">
      <w:pPr>
        <w:pStyle w:val="normal"/>
        <w:jc w:val="both"/>
        <w:rPr>
          <w:rFonts w:ascii="Verdana" w:eastAsia="Verdana" w:hAnsi="Verdana" w:cs="Verdana"/>
        </w:rPr>
      </w:pPr>
      <w:r>
        <w:rPr>
          <w:rFonts w:ascii="Verdana" w:eastAsia="Verdana" w:hAnsi="Verdana" w:cs="Verdana"/>
        </w:rPr>
        <w:t>Άρθρο 87. Οι δ</w:t>
      </w:r>
      <w:r>
        <w:rPr>
          <w:rFonts w:ascii="Verdana" w:eastAsia="Verdana" w:hAnsi="Verdana" w:cs="Verdana"/>
        </w:rPr>
        <w:t>ικασταί καθώς και τα ψήφον έχοντα μέλη του Ελεγκτικού Συνεδρίου θέλουν είσθαι ισόβιοι, μη δυνάμενοι να παυθώσιν άνευ δικαστικής αποφάσεως.</w:t>
      </w:r>
    </w:p>
    <w:p w:rsidR="00D67F96" w:rsidRDefault="008B261C">
      <w:pPr>
        <w:pStyle w:val="normal"/>
        <w:jc w:val="both"/>
        <w:rPr>
          <w:rFonts w:ascii="Verdana" w:eastAsia="Verdana" w:hAnsi="Verdana" w:cs="Verdana"/>
        </w:rPr>
      </w:pPr>
      <w:r>
        <w:rPr>
          <w:rFonts w:ascii="Verdana" w:eastAsia="Verdana" w:hAnsi="Verdana" w:cs="Verdana"/>
        </w:rPr>
        <w:t>Άρθρο 89. Ουδείς αφαιρείται άκων του παρά του Νόμου ωρισμένου εις αυτόν δικαστού· όθεν δικαστικαί επιτροπαί και έκτακ</w:t>
      </w:r>
      <w:r>
        <w:rPr>
          <w:rFonts w:ascii="Verdana" w:eastAsia="Verdana" w:hAnsi="Verdana" w:cs="Verdana"/>
        </w:rPr>
        <w:t>τα δικαστήρια υφ’ οιονδήποτε όνομα δεν επιτρέπεται να συστηθώσι.</w:t>
      </w:r>
    </w:p>
    <w:p w:rsidR="00D67F96" w:rsidRDefault="008B261C">
      <w:pPr>
        <w:pStyle w:val="normal"/>
        <w:jc w:val="both"/>
      </w:pPr>
      <w:r>
        <w:rPr>
          <w:rFonts w:ascii="Verdana" w:eastAsia="Verdana" w:hAnsi="Verdana" w:cs="Verdana"/>
        </w:rPr>
        <w:t>Άρθρο 93. Τα πολιτικά εγκλήματα δικάζονται υπό των ενόρκων· ωσαύτως και τα του τύπους, οσάκις ταύτα δεν αφορώσι τον ιδιωτικόν βίον. Κοντά όμως στα προοδευτικά αυτά άρθρα υπάρχουν άλλα, που έδ</w:t>
      </w:r>
      <w:r>
        <w:rPr>
          <w:rFonts w:ascii="Verdana" w:eastAsia="Verdana" w:hAnsi="Verdana" w:cs="Verdana"/>
        </w:rPr>
        <w:t>ωσαν στον Όθωνα και στην κλίκα του το τυπικό δικαίωμα να καταντήσουν το Σύνταγμα παρωδία.</w:t>
      </w:r>
      <w:r>
        <w:t xml:space="preserve"> </w:t>
      </w:r>
    </w:p>
    <w:p w:rsidR="00D67F96" w:rsidRDefault="008B261C">
      <w:pPr>
        <w:pStyle w:val="normal"/>
        <w:jc w:val="both"/>
        <w:rPr>
          <w:rFonts w:ascii="Verdana" w:eastAsia="Verdana" w:hAnsi="Verdana" w:cs="Verdana"/>
          <w:b/>
          <w:i/>
        </w:rPr>
      </w:pPr>
      <w:r>
        <w:rPr>
          <w:rFonts w:ascii="Verdana" w:eastAsia="Verdana" w:hAnsi="Verdana" w:cs="Verdana"/>
          <w:b/>
          <w:i/>
        </w:rPr>
        <w:t>Δημ. Φωτιάδης, Τα φοβερά ντοκουμέντα, 3η Σεπτεμβρίου 1843, σ.175-177</w:t>
      </w:r>
    </w:p>
    <w:p w:rsidR="00D67F96" w:rsidRDefault="008B261C">
      <w:pPr>
        <w:pStyle w:val="normal"/>
        <w:jc w:val="both"/>
        <w:rPr>
          <w:rFonts w:ascii="Verdana" w:eastAsia="Verdana" w:hAnsi="Verdana" w:cs="Verdana"/>
          <w:b/>
        </w:rPr>
      </w:pPr>
      <w:r>
        <w:rPr>
          <w:rFonts w:ascii="Verdana" w:eastAsia="Verdana" w:hAnsi="Verdana" w:cs="Verdana"/>
          <w:b/>
        </w:rPr>
        <w:t xml:space="preserve">Βιβλιογραφία: </w:t>
      </w:r>
    </w:p>
    <w:p w:rsidR="00D67F96" w:rsidRDefault="008B261C">
      <w:pPr>
        <w:pStyle w:val="normal"/>
        <w:numPr>
          <w:ilvl w:val="0"/>
          <w:numId w:val="1"/>
        </w:numPr>
        <w:pBdr>
          <w:top w:val="nil"/>
          <w:left w:val="nil"/>
          <w:bottom w:val="nil"/>
          <w:right w:val="nil"/>
          <w:between w:val="nil"/>
        </w:pBdr>
        <w:spacing w:after="0" w:line="240" w:lineRule="auto"/>
        <w:jc w:val="both"/>
        <w:rPr>
          <w:rFonts w:ascii="Verdana" w:eastAsia="Verdana" w:hAnsi="Verdana" w:cs="Verdana"/>
          <w:b/>
          <w:color w:val="000000"/>
        </w:rPr>
      </w:pPr>
      <w:r>
        <w:rPr>
          <w:rFonts w:ascii="Verdana" w:eastAsia="Verdana" w:hAnsi="Verdana" w:cs="Verdana"/>
          <w:color w:val="000000"/>
        </w:rPr>
        <w:t>Θέματα Νεοελληνικής Ιστορίας, Σχολικό Εγχειρίδιο.</w:t>
      </w:r>
    </w:p>
    <w:p w:rsidR="00D67F96" w:rsidRDefault="008B261C">
      <w:pPr>
        <w:pStyle w:val="normal"/>
        <w:numPr>
          <w:ilvl w:val="0"/>
          <w:numId w:val="1"/>
        </w:numPr>
        <w:pBdr>
          <w:top w:val="nil"/>
          <w:left w:val="nil"/>
          <w:bottom w:val="nil"/>
          <w:right w:val="nil"/>
          <w:between w:val="nil"/>
        </w:pBdr>
        <w:spacing w:after="0" w:line="240" w:lineRule="auto"/>
        <w:jc w:val="both"/>
        <w:rPr>
          <w:rFonts w:ascii="Verdana" w:eastAsia="Verdana" w:hAnsi="Verdana" w:cs="Verdana"/>
          <w:b/>
          <w:color w:val="000000"/>
        </w:rPr>
      </w:pPr>
      <w:bookmarkStart w:id="0" w:name="_gjdgxs" w:colFirst="0" w:colLast="0"/>
      <w:bookmarkEnd w:id="0"/>
      <w:r>
        <w:rPr>
          <w:rFonts w:ascii="Verdana" w:eastAsia="Verdana" w:hAnsi="Verdana" w:cs="Verdana"/>
          <w:color w:val="000000"/>
        </w:rPr>
        <w:t>iekpaideysi.gr</w:t>
      </w:r>
    </w:p>
    <w:sectPr w:rsidR="00D67F96" w:rsidSect="00D67F96">
      <w:pgSz w:w="11906" w:h="16838"/>
      <w:pgMar w:top="1440" w:right="1800" w:bottom="1440" w:left="1800"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D80DF2"/>
    <w:multiLevelType w:val="multilevel"/>
    <w:tmpl w:val="64B883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savePreviewPicture/>
  <w:compat/>
  <w:rsids>
    <w:rsidRoot w:val="00D67F96"/>
    <w:rsid w:val="008B261C"/>
    <w:rsid w:val="00D67F9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D67F96"/>
    <w:pPr>
      <w:keepNext/>
      <w:keepLines/>
      <w:spacing w:before="480" w:after="120"/>
      <w:outlineLvl w:val="0"/>
    </w:pPr>
    <w:rPr>
      <w:b/>
      <w:sz w:val="48"/>
      <w:szCs w:val="48"/>
    </w:rPr>
  </w:style>
  <w:style w:type="paragraph" w:styleId="2">
    <w:name w:val="heading 2"/>
    <w:basedOn w:val="normal"/>
    <w:next w:val="normal"/>
    <w:rsid w:val="00D67F96"/>
    <w:pPr>
      <w:keepNext/>
      <w:keepLines/>
      <w:spacing w:before="360" w:after="80"/>
      <w:outlineLvl w:val="1"/>
    </w:pPr>
    <w:rPr>
      <w:b/>
      <w:sz w:val="36"/>
      <w:szCs w:val="36"/>
    </w:rPr>
  </w:style>
  <w:style w:type="paragraph" w:styleId="3">
    <w:name w:val="heading 3"/>
    <w:basedOn w:val="normal"/>
    <w:next w:val="normal"/>
    <w:rsid w:val="00D67F96"/>
    <w:pPr>
      <w:keepNext/>
      <w:widowControl w:val="0"/>
      <w:spacing w:before="240" w:after="120" w:line="240" w:lineRule="auto"/>
      <w:outlineLvl w:val="2"/>
    </w:pPr>
    <w:rPr>
      <w:rFonts w:ascii="Times New Roman" w:eastAsia="Times New Roman" w:hAnsi="Times New Roman" w:cs="Times New Roman"/>
      <w:b/>
      <w:sz w:val="28"/>
      <w:szCs w:val="28"/>
    </w:rPr>
  </w:style>
  <w:style w:type="paragraph" w:styleId="4">
    <w:name w:val="heading 4"/>
    <w:basedOn w:val="normal"/>
    <w:next w:val="normal"/>
    <w:rsid w:val="00D67F96"/>
    <w:pPr>
      <w:keepNext/>
      <w:keepLines/>
      <w:spacing w:before="240" w:after="40"/>
      <w:outlineLvl w:val="3"/>
    </w:pPr>
    <w:rPr>
      <w:b/>
      <w:sz w:val="24"/>
      <w:szCs w:val="24"/>
    </w:rPr>
  </w:style>
  <w:style w:type="paragraph" w:styleId="5">
    <w:name w:val="heading 5"/>
    <w:basedOn w:val="normal"/>
    <w:next w:val="normal"/>
    <w:rsid w:val="00D67F96"/>
    <w:pPr>
      <w:keepNext/>
      <w:keepLines/>
      <w:spacing w:before="220" w:after="40"/>
      <w:outlineLvl w:val="4"/>
    </w:pPr>
    <w:rPr>
      <w:b/>
    </w:rPr>
  </w:style>
  <w:style w:type="paragraph" w:styleId="6">
    <w:name w:val="heading 6"/>
    <w:basedOn w:val="normal"/>
    <w:next w:val="normal"/>
    <w:rsid w:val="00D67F96"/>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D67F96"/>
  </w:style>
  <w:style w:type="table" w:customStyle="1" w:styleId="TableNormal">
    <w:name w:val="Table Normal"/>
    <w:rsid w:val="00D67F96"/>
    <w:tblPr>
      <w:tblCellMar>
        <w:top w:w="0" w:type="dxa"/>
        <w:left w:w="0" w:type="dxa"/>
        <w:bottom w:w="0" w:type="dxa"/>
        <w:right w:w="0" w:type="dxa"/>
      </w:tblCellMar>
    </w:tblPr>
  </w:style>
  <w:style w:type="paragraph" w:styleId="a3">
    <w:name w:val="Title"/>
    <w:basedOn w:val="normal"/>
    <w:next w:val="normal"/>
    <w:rsid w:val="00D67F96"/>
    <w:pPr>
      <w:keepNext/>
      <w:keepLines/>
      <w:spacing w:before="480" w:after="120"/>
    </w:pPr>
    <w:rPr>
      <w:b/>
      <w:sz w:val="72"/>
      <w:szCs w:val="72"/>
    </w:rPr>
  </w:style>
  <w:style w:type="paragraph" w:styleId="a4">
    <w:name w:val="Subtitle"/>
    <w:basedOn w:val="normal"/>
    <w:next w:val="normal"/>
    <w:rsid w:val="00D67F96"/>
    <w:pPr>
      <w:spacing w:after="0" w:line="240" w:lineRule="auto"/>
      <w:jc w:val="center"/>
    </w:pPr>
    <w:rPr>
      <w:rFonts w:ascii="Times New Roman" w:eastAsia="Times New Roman" w:hAnsi="Times New Roman" w:cs="Times New Roman"/>
      <w:b/>
      <w:sz w:val="28"/>
      <w:szCs w:val="28"/>
    </w:rPr>
  </w:style>
  <w:style w:type="paragraph" w:styleId="a5">
    <w:name w:val="Balloon Text"/>
    <w:basedOn w:val="a"/>
    <w:link w:val="Char"/>
    <w:uiPriority w:val="99"/>
    <w:semiHidden/>
    <w:unhideWhenUsed/>
    <w:rsid w:val="008B261C"/>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8B26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970</Words>
  <Characters>5239</Characters>
  <Application>Microsoft Office Word</Application>
  <DocSecurity>0</DocSecurity>
  <Lines>43</Lines>
  <Paragraphs>12</Paragraphs>
  <ScaleCrop>false</ScaleCrop>
  <Company/>
  <LinksUpToDate>false</LinksUpToDate>
  <CharactersWithSpaces>6197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2020-03-20T13:31:00Z</dcterms:created>
  <dcterms:modified xsi:type="dcterms:W3CDTF">2020-03-20T13:31:00Z</dcterms:modified>
</cp:coreProperties>
</file>