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004" w:rsidRDefault="002C5378">
      <w:pPr>
        <w:pStyle w:val="normal"/>
        <w:pBdr>
          <w:top w:val="nil"/>
          <w:left w:val="nil"/>
          <w:bottom w:val="nil"/>
          <w:right w:val="nil"/>
          <w:between w:val="nil"/>
        </w:pBdr>
        <w:rPr>
          <w:color w:val="000000"/>
        </w:rPr>
      </w:pPr>
      <w:r>
        <w:rPr>
          <w:noProof/>
          <w:color w:val="000000"/>
        </w:rPr>
        <w:drawing>
          <wp:inline distT="0" distB="0" distL="0" distR="0">
            <wp:extent cx="5274310" cy="9889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274310" cy="988933"/>
                    </a:xfrm>
                    <a:prstGeom prst="rect">
                      <a:avLst/>
                    </a:prstGeom>
                    <a:ln/>
                  </pic:spPr>
                </pic:pic>
              </a:graphicData>
            </a:graphic>
          </wp:inline>
        </w:drawing>
      </w:r>
    </w:p>
    <w:p w:rsidR="00934004" w:rsidRDefault="00934004">
      <w:pPr>
        <w:pStyle w:val="normal"/>
        <w:pBdr>
          <w:top w:val="nil"/>
          <w:left w:val="nil"/>
          <w:bottom w:val="nil"/>
          <w:right w:val="nil"/>
          <w:between w:val="nil"/>
        </w:pBdr>
        <w:rPr>
          <w:rFonts w:ascii="Tahoma" w:eastAsia="Tahoma" w:hAnsi="Tahoma" w:cs="Tahoma"/>
          <w:color w:val="000000"/>
          <w:sz w:val="24"/>
          <w:szCs w:val="24"/>
        </w:rPr>
      </w:pPr>
    </w:p>
    <w:p w:rsidR="00934004" w:rsidRDefault="002C5378">
      <w:pPr>
        <w:pStyle w:val="normal"/>
        <w:pBdr>
          <w:top w:val="nil"/>
          <w:left w:val="nil"/>
          <w:bottom w:val="nil"/>
          <w:right w:val="nil"/>
          <w:between w:val="nil"/>
        </w:pBdr>
        <w:rPr>
          <w:rFonts w:ascii="Tahoma" w:eastAsia="Tahoma" w:hAnsi="Tahoma" w:cs="Tahoma"/>
          <w:b/>
          <w:color w:val="000000"/>
          <w:sz w:val="24"/>
          <w:szCs w:val="24"/>
        </w:rPr>
      </w:pPr>
      <w:r>
        <w:rPr>
          <w:rFonts w:ascii="Tahoma" w:eastAsia="Tahoma" w:hAnsi="Tahoma" w:cs="Tahoma"/>
          <w:b/>
          <w:color w:val="000000"/>
          <w:sz w:val="24"/>
          <w:szCs w:val="24"/>
        </w:rPr>
        <w:t xml:space="preserve">    ΔΙΑΓΩΝΙΣΜΑ ΣΤΗΝ ΙΣΤΟΡΙΑ ΠΡΟΣΑΝΑΤΟΛΙΣΜΟΥ Γ’ ΛΥΚΕΙΟΥ</w:t>
      </w:r>
    </w:p>
    <w:p w:rsidR="00934004" w:rsidRDefault="002C5378">
      <w:pPr>
        <w:pStyle w:val="normal"/>
        <w:pBdr>
          <w:top w:val="nil"/>
          <w:left w:val="nil"/>
          <w:bottom w:val="nil"/>
          <w:right w:val="nil"/>
          <w:between w:val="nil"/>
        </w:pBdr>
        <w:rPr>
          <w:rFonts w:ascii="Tahoma" w:eastAsia="Tahoma" w:hAnsi="Tahoma" w:cs="Tahoma"/>
          <w:b/>
          <w:color w:val="000000"/>
          <w:sz w:val="24"/>
          <w:szCs w:val="24"/>
        </w:rPr>
      </w:pPr>
      <w:r>
        <w:rPr>
          <w:rFonts w:ascii="Tahoma" w:eastAsia="Tahoma" w:hAnsi="Tahoma" w:cs="Tahoma"/>
          <w:b/>
          <w:color w:val="000000"/>
          <w:sz w:val="24"/>
          <w:szCs w:val="24"/>
        </w:rPr>
        <w:t xml:space="preserve">                                       ΕΦ’ ΟΛΗΣ ΤΗΣ ΥΛΗΣ</w:t>
      </w:r>
    </w:p>
    <w:p w:rsidR="00934004" w:rsidRDefault="00934004">
      <w:pPr>
        <w:pStyle w:val="normal"/>
        <w:pBdr>
          <w:top w:val="nil"/>
          <w:left w:val="nil"/>
          <w:bottom w:val="nil"/>
          <w:right w:val="nil"/>
          <w:between w:val="nil"/>
        </w:pBdr>
        <w:rPr>
          <w:rFonts w:ascii="Verdana" w:eastAsia="Verdana" w:hAnsi="Verdana" w:cs="Verdana"/>
          <w:b/>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 xml:space="preserve">                                          ΟΜΑΔΑ Α’</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Α1.</w:t>
      </w:r>
      <w:r>
        <w:rPr>
          <w:rFonts w:ascii="Verdana" w:eastAsia="Verdana" w:hAnsi="Verdana" w:cs="Verdana"/>
          <w:color w:val="000000"/>
        </w:rPr>
        <w:t xml:space="preserve"> Να γράψετε τους ορισμούς: Πανελλήνιον, Ανόρθωση, Μικτή Επιτροπή Ανταλλαγής, </w:t>
      </w:r>
      <w:r>
        <w:rPr>
          <w:rFonts w:ascii="Verdana" w:eastAsia="Verdana" w:hAnsi="Verdana" w:cs="Verdana"/>
        </w:rPr>
        <w:t xml:space="preserve">Εθνικά κτήματα. </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12 μονάδες</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Α2.</w:t>
      </w:r>
      <w:r>
        <w:rPr>
          <w:rFonts w:ascii="Verdana" w:eastAsia="Verdana" w:hAnsi="Verdana" w:cs="Verdana"/>
          <w:color w:val="000000"/>
        </w:rPr>
        <w:t xml:space="preserve"> Να χαρακτηρίσετε τις επόμενες προτάσεις σωστές ή λανθασμένες.</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α) Στη διάρκεια των Βαλκανικών πολέμων, οι πιέσεις που δέχτηκε η ελληνική κοινωνία, η εμπλοκή της σε διεθνείς υποθέσεις και ο αντίκτυπος της ρωσικής επανάστασης οδήγησαν το εργατικό και το σοσιαλιστικό κίνημα σε ταχύτατη ωρίμανση.</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β) Το τρικουπικό κόμμα ήδ</w:t>
      </w:r>
      <w:r>
        <w:rPr>
          <w:rFonts w:ascii="Verdana" w:eastAsia="Verdana" w:hAnsi="Verdana" w:cs="Verdana"/>
          <w:color w:val="000000"/>
        </w:rPr>
        <w:t>η από το 1875 παρουσίασε ένα συστηματικό πρόγραμμα εκσυγχρονισμού της χώρας, αρκετά κοντά στις αντιλήψεις του Κουμουνδούρου.</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γ) Η έλλειψη γεωργικών εκτάσεων προς διανομή στους πρόσφυγες υποχρέωσε το κράτος να αναλάβει την κατασκευή μεγάλων εγγειοβελτιωτικώ</w:t>
      </w:r>
      <w:r>
        <w:rPr>
          <w:rFonts w:ascii="Verdana" w:eastAsia="Verdana" w:hAnsi="Verdana" w:cs="Verdana"/>
          <w:color w:val="000000"/>
        </w:rPr>
        <w:t>ν έργων, κυρίως στη Στερεά Ελλάδα, και έτσι αυξήθηκαν οι καλλιεργήσιμες εκτάσεις.</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δ) </w:t>
      </w:r>
      <w:r>
        <w:rPr>
          <w:rFonts w:ascii="Verdana" w:eastAsia="Verdana" w:hAnsi="Verdana" w:cs="Verdana"/>
        </w:rPr>
        <w:t xml:space="preserve">Η κεντρική επιτροπή υπέρ των Κρητων, με την αντίστοιχη της Αθήνας ανέλαβαν την ενίσχυση του κρητικού αγώνα. </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ε) Ένας από τους λόγους που δημιουργήθηκαν πελατειακά δίκτυα ε</w:t>
      </w:r>
      <w:r>
        <w:rPr>
          <w:rFonts w:ascii="Verdana" w:eastAsia="Verdana" w:hAnsi="Verdana" w:cs="Verdana"/>
          <w:color w:val="000000"/>
        </w:rPr>
        <w:t>πί τουρκοκρατίας ήταν η επαρκής παροχή προστασίας από την οθωμανική διοίκηση προς του υπηκόους της σε περίπτωση αυθαιρεσιών.</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lastRenderedPageBreak/>
        <w:t>στ) Σημαντική πολιτική τομή της περιόδου 1923-1928 ήταν η ψήφιση νέου συντάγματος, διαδικασία που ξεκίνησε το 1924 και ολοκληρώθηκε</w:t>
      </w:r>
      <w:r>
        <w:rPr>
          <w:rFonts w:ascii="Verdana" w:eastAsia="Verdana" w:hAnsi="Verdana" w:cs="Verdana"/>
          <w:color w:val="000000"/>
        </w:rPr>
        <w:t xml:space="preserve"> το 1926.</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ζ) Οι Κάσιοι πρόσφυγες επεδίωξαν να μεταναστεύσουν το 1838 στην Ναύπακτο.</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η) Στην απογραφή του 1828 καταγράφηκαν 1.220.000 πρόσφυγες.</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Μονάδες 8</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rPr>
      </w:pPr>
      <w:r>
        <w:rPr>
          <w:rFonts w:ascii="Verdana" w:eastAsia="Verdana" w:hAnsi="Verdana" w:cs="Verdana"/>
          <w:b/>
          <w:color w:val="000000"/>
        </w:rPr>
        <w:t>Β1.</w:t>
      </w:r>
      <w:r>
        <w:rPr>
          <w:rFonts w:ascii="Verdana" w:eastAsia="Verdana" w:hAnsi="Verdana" w:cs="Verdana"/>
          <w:color w:val="000000"/>
        </w:rPr>
        <w:t xml:space="preserve"> </w:t>
      </w:r>
      <w:r>
        <w:rPr>
          <w:rFonts w:ascii="Verdana" w:eastAsia="Verdana" w:hAnsi="Verdana" w:cs="Verdana"/>
        </w:rPr>
        <w:t>Να αναφερθείτε στην υπογραφή της Σύμβασης της Λοζάνης, στους όρους της καθώς και στις αντιδράσει</w:t>
      </w:r>
      <w:r>
        <w:rPr>
          <w:rFonts w:ascii="Verdana" w:eastAsia="Verdana" w:hAnsi="Verdana" w:cs="Verdana"/>
        </w:rPr>
        <w:t>ς που προκλήθηκαν μετά την υπογραφή της</w:t>
      </w:r>
      <w:r>
        <w:rPr>
          <w:rFonts w:ascii="Verdana" w:eastAsia="Verdana" w:hAnsi="Verdana" w:cs="Verdana"/>
          <w:color w:val="000000"/>
        </w:rPr>
        <w:t>.</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15 μονάδες</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Β2.</w:t>
      </w:r>
      <w:r>
        <w:rPr>
          <w:rFonts w:ascii="Verdana" w:eastAsia="Verdana" w:hAnsi="Verdana" w:cs="Verdana"/>
          <w:color w:val="000000"/>
        </w:rPr>
        <w:t xml:space="preserve"> </w:t>
      </w:r>
      <w:r>
        <w:rPr>
          <w:rFonts w:ascii="Verdana" w:eastAsia="Verdana" w:hAnsi="Verdana" w:cs="Verdana"/>
        </w:rPr>
        <w:t xml:space="preserve">Τι γνωρίζετε για τις επιπτώσεις από την άφιξη των προσφύγων στη βιομηχανία και τον πληθυσμό της Ελλάδας. </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15 μονάδες</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 xml:space="preserve">                                            ΟΜΑΔΑ Β’</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Γ.</w:t>
      </w:r>
      <w:r>
        <w:rPr>
          <w:rFonts w:ascii="Verdana" w:eastAsia="Verdana" w:hAnsi="Verdana" w:cs="Verdana"/>
          <w:color w:val="000000"/>
        </w:rPr>
        <w:t xml:space="preserve"> Με βάση τις ιστορικές σας γνώσεις και το περιεχόμενο του επόμενου πίνακα και των κειμένων που ακολουθούν, να αναφερθείτε στην πορεία του εξωτερικού εμπορίου της Ελλάδας στη διάρκεια του 19ου αιώνα και την πρώτη δεκαετία του 20ου αιώνα. </w:t>
      </w:r>
      <w:r>
        <w:rPr>
          <w:rFonts w:ascii="Verdana" w:eastAsia="Verdana" w:hAnsi="Verdana" w:cs="Verdana"/>
          <w:b/>
          <w:color w:val="000000"/>
        </w:rPr>
        <w:t>(Μονάδες 25)</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ΠΙΝΑ</w:t>
      </w:r>
      <w:r>
        <w:rPr>
          <w:rFonts w:ascii="Verdana" w:eastAsia="Verdana" w:hAnsi="Verdana" w:cs="Verdana"/>
          <w:b/>
          <w:color w:val="000000"/>
        </w:rPr>
        <w:t>ΚΑΣ 1</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Το εξωτερικό εμπόριο της Ελλάδας - Μ.Ο. δεκαετιών 1860-1870 και 1900-1910.</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single" w:sz="4" w:space="1" w:color="000000"/>
          <w:right w:val="nil"/>
          <w:between w:val="nil"/>
        </w:pBdr>
        <w:rPr>
          <w:rFonts w:ascii="Verdana" w:eastAsia="Verdana" w:hAnsi="Verdana" w:cs="Verdana"/>
          <w:color w:val="000000"/>
        </w:rPr>
      </w:pPr>
      <w:r>
        <w:rPr>
          <w:rFonts w:ascii="Verdana" w:eastAsia="Verdana" w:hAnsi="Verdana" w:cs="Verdana"/>
          <w:color w:val="000000"/>
        </w:rPr>
        <w:t xml:space="preserve">                                    1860-1870                    1900-1910</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 xml:space="preserve">  ΠΟΛΗ                      Εισαγωγές    Εξαγωγές  Εισαγωγές Εξαγωγές</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Αγροτικά προϊόντα                 31%     63%       36%        75%</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Βιομηχανικά προϊόντα             24%       7%       30%         2%</w:t>
      </w:r>
    </w:p>
    <w:p w:rsidR="00934004" w:rsidRDefault="002C5378">
      <w:pPr>
        <w:pStyle w:val="normal"/>
        <w:pBdr>
          <w:top w:val="nil"/>
          <w:left w:val="nil"/>
          <w:bottom w:val="nil"/>
          <w:right w:val="nil"/>
          <w:between w:val="nil"/>
        </w:pBdr>
        <w:rPr>
          <w:rFonts w:ascii="Verdana" w:eastAsia="Verdana" w:hAnsi="Verdana" w:cs="Verdana"/>
          <w:color w:val="000000"/>
        </w:rPr>
      </w:pPr>
      <w:r>
        <w:rPr>
          <w:rFonts w:ascii="Verdana" w:eastAsia="Verdana" w:hAnsi="Verdana" w:cs="Verdana"/>
          <w:color w:val="000000"/>
        </w:rPr>
        <w:t>Πρώτες ύλες                          12%      17%      18%         22%</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ΚΕΙΜΕΝΟ 1</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ΠΤΩΣΗ ΤΩΝ ΕΞΑΓΩΓΩΝ ΤΩΝ ΚΑΤΕΡΓΑΣΜΕΝΩΝ ∆ΕΡΜΑΤΩΝ</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Πιο θεαματική απ’ όλες τις άλλες είναι η πτώση των εξαγωγών των κατεργασμένων δερμάτων· εδώ είναι κυρίως που η αδυναμία των ελλήνων κατασκευαστών να διαφοροποιηθούν αισθητά από την παραδοσιακή βιοτεχνία της ευ</w:t>
      </w:r>
      <w:r>
        <w:rPr>
          <w:rFonts w:ascii="Verdana" w:eastAsia="Verdana" w:hAnsi="Verdana" w:cs="Verdana"/>
          <w:color w:val="000000"/>
        </w:rPr>
        <w:t xml:space="preserve">ρύτερης περιοχής αποδεικνύεται αποφασιστικός παράγοντας. Πράγματι οι μέθοδοι κατεργασίας δεν διαφέρουν ουσιαστικά, ανάμεσα στα μεγάλα καταστήματα της Ερμούπολης και τα άλλα μικρότερα βυρσοδεψεία που φυτρώνουν λίγο - πολύ παντού, κατά τη δεκαετία του 1880, </w:t>
      </w:r>
      <w:r>
        <w:rPr>
          <w:rFonts w:ascii="Verdana" w:eastAsia="Verdana" w:hAnsi="Verdana" w:cs="Verdana"/>
          <w:color w:val="000000"/>
        </w:rPr>
        <w:t>στα νησιά του Αιγαίου, και κυρίως στη Χίο, τη Σάμο και τη Μυτιλήνη. Έτσι, αν οι δύο απότομες κάμψεις της καμπύλης των εξαγωγών (στα 1866-70 και στα 1876-81) οφείλονται στα πολιτικά γεγονότα, η μακροπρόθεσμη πτωτική τάση τους μαρτυρεί τη σταδιακή απώλεια τω</w:t>
      </w:r>
      <w:r>
        <w:rPr>
          <w:rFonts w:ascii="Verdana" w:eastAsia="Verdana" w:hAnsi="Verdana" w:cs="Verdana"/>
          <w:color w:val="000000"/>
        </w:rPr>
        <w:t>ν αγορών της Μικράς Ασίας, της Μέσης Ανατολής, της Βουλγαρίας - Ρωμυλίας και της Αλβανίας, προς όφελος των ανερχόμενων βιομηχανιών της Χίου - Σάμου, αλλά και της Αλεξάνδρειας. Το γεγονός ότι τα βυρσοδεψεία της Ερμούπολης παράγουν δέρματα καλύτερης ποιότητα</w:t>
      </w:r>
      <w:r>
        <w:rPr>
          <w:rFonts w:ascii="Verdana" w:eastAsia="Verdana" w:hAnsi="Verdana" w:cs="Verdana"/>
          <w:color w:val="000000"/>
        </w:rPr>
        <w:t>ς, δεν μετράει και πολύ για τους καταναλωτές της περιοχής. Από την άλλη μεριά, οι εξαγωγές δερμάτων στη Ρουμανία, που απορροφούσε μεταξύ 1877 και 1882 το 25-33% του συνόλου των εξαγωγών, εκλείπουν εντελώς “ένεκα του επιβληθέντος βαρέος δασμού” ( από τα μέσ</w:t>
      </w:r>
      <w:r>
        <w:rPr>
          <w:rFonts w:ascii="Verdana" w:eastAsia="Verdana" w:hAnsi="Verdana" w:cs="Verdana"/>
          <w:color w:val="000000"/>
        </w:rPr>
        <w:t>α της δεκαετίας του 1880).(Γενικότερα, η μείωση των ανταλλαγών με τη χώρα αυτή αποδίδεται επίσης και στην παρακμή, αριθμητική και οικονομική, των ελληνικών παροικιών που άνθιζαν κάποτε στα αστικά κέντρα των παραδουνάβιων περιοχών.)</w:t>
      </w:r>
    </w:p>
    <w:p w:rsidR="00934004" w:rsidRDefault="002C5378">
      <w:pPr>
        <w:pStyle w:val="normal"/>
        <w:pBdr>
          <w:top w:val="nil"/>
          <w:left w:val="nil"/>
          <w:bottom w:val="nil"/>
          <w:right w:val="nil"/>
          <w:between w:val="nil"/>
        </w:pBdr>
        <w:rPr>
          <w:rFonts w:ascii="Verdana" w:eastAsia="Verdana" w:hAnsi="Verdana" w:cs="Verdana"/>
          <w:b/>
          <w:i/>
          <w:color w:val="000000"/>
        </w:rPr>
      </w:pPr>
      <w:r>
        <w:rPr>
          <w:rFonts w:ascii="Verdana" w:eastAsia="Verdana" w:hAnsi="Verdana" w:cs="Verdana"/>
          <w:b/>
          <w:i/>
          <w:color w:val="000000"/>
        </w:rPr>
        <w:t>Χ. Αγριαντώνη, ΚΕΕ</w:t>
      </w: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934004">
      <w:pPr>
        <w:pStyle w:val="normal"/>
        <w:pBdr>
          <w:top w:val="nil"/>
          <w:left w:val="nil"/>
          <w:bottom w:val="nil"/>
          <w:right w:val="nil"/>
          <w:between w:val="nil"/>
        </w:pBdr>
        <w:rPr>
          <w:rFonts w:ascii="Verdana" w:eastAsia="Verdana" w:hAnsi="Verdana" w:cs="Verdana"/>
          <w:color w:val="000000"/>
        </w:rPr>
      </w:pP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b/>
          <w:color w:val="000000"/>
        </w:rPr>
        <w:t>Δ</w:t>
      </w:r>
      <w:r>
        <w:rPr>
          <w:rFonts w:ascii="Verdana" w:eastAsia="Verdana" w:hAnsi="Verdana" w:cs="Verdana"/>
          <w:b/>
          <w:color w:val="000000"/>
        </w:rPr>
        <w:t>.</w:t>
      </w:r>
      <w:r>
        <w:rPr>
          <w:rFonts w:ascii="Verdana" w:eastAsia="Verdana" w:hAnsi="Verdana" w:cs="Verdana"/>
          <w:color w:val="000000"/>
        </w:rPr>
        <w:t xml:space="preserve"> Με βάση τις πληροφορίες του επόμενου κειμένου και τις ιστορικές σας γνώσεις να αναφερθείτε στα προοδευτικά και τα συντηρητικά στοιχεία του Συντάγματος του 1844</w:t>
      </w:r>
      <w:r>
        <w:rPr>
          <w:rFonts w:ascii="Verdana" w:eastAsia="Verdana" w:hAnsi="Verdana" w:cs="Verdana"/>
          <w:b/>
          <w:color w:val="000000"/>
        </w:rPr>
        <w:t>.(Μονάδες 25)</w:t>
      </w:r>
    </w:p>
    <w:p w:rsidR="00934004" w:rsidRDefault="002C5378">
      <w:pPr>
        <w:pStyle w:val="normal"/>
        <w:pBdr>
          <w:top w:val="nil"/>
          <w:left w:val="nil"/>
          <w:bottom w:val="nil"/>
          <w:right w:val="nil"/>
          <w:between w:val="nil"/>
        </w:pBdr>
        <w:rPr>
          <w:rFonts w:ascii="Verdana" w:eastAsia="Verdana" w:hAnsi="Verdana" w:cs="Verdana"/>
          <w:b/>
          <w:color w:val="000000"/>
        </w:rPr>
      </w:pPr>
      <w:r>
        <w:rPr>
          <w:rFonts w:ascii="Verdana" w:eastAsia="Verdana" w:hAnsi="Verdana" w:cs="Verdana"/>
          <w:color w:val="000000"/>
        </w:rPr>
        <w:t>Προοδευτικά και αντιδραστικά άρθρα του Συντάγματος</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Αν κι αυτός ακόμα ο Καρολίδης </w:t>
      </w:r>
      <w:r>
        <w:rPr>
          <w:rFonts w:ascii="Verdana" w:eastAsia="Verdana" w:hAnsi="Verdana" w:cs="Verdana"/>
          <w:color w:val="000000"/>
        </w:rPr>
        <w:t>παραδέχεται πως «το καθόλου ελάττωμα ή αμάρτημα του Συντάγματος του 1843 είναι ότι τούτο δεν ήτο εις άκρον φιλελεύθερον, εις άκρον ριζοσπαστικόν, οιον μόνον το συνταγματικόν πολίτευμα ηδύνατο να υπάρχη και να ζη εν Ελλάδι» (τ. γ’, σ. 79) βρίσκομε στο κεφάλ</w:t>
      </w:r>
      <w:r>
        <w:rPr>
          <w:rFonts w:ascii="Verdana" w:eastAsia="Verdana" w:hAnsi="Verdana" w:cs="Verdana"/>
          <w:color w:val="000000"/>
        </w:rPr>
        <w:t>αιο «Περί δημοσίου δικαίου των Ελλήνων» άρθρα όπως αυτά:</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3. Οι Έλληνες είναι ίσοι ενώπιον του Νόμου και συνεισφέρουσιν αδιακρίτως εις τα δημόσια αναλόγως της περιουσίας των.</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4. Η προσωπική ελευθερία είναι απαραβίαστος· ουδείς καταδιώκεται, συλλ</w:t>
      </w:r>
      <w:r>
        <w:rPr>
          <w:rFonts w:ascii="Verdana" w:eastAsia="Verdana" w:hAnsi="Verdana" w:cs="Verdana"/>
          <w:color w:val="000000"/>
        </w:rPr>
        <w:t>αμβάνεται, φυλακίζεται ή άλλως πως περιορίζεται ειμή οπόταν και όπως ο Νόμος ορίζη.</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8. Η κατοικία εκάστου είναι άσυλον· ουδεμία κατ’ οίκον έρευνα ενεργείται ειμή όταν και όπως ο Νόμος διατάσση.</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9. Εν Ελλάδι ούτε πωλείται ούτε αγοράζεται άνθρωπο</w:t>
      </w:r>
      <w:r>
        <w:rPr>
          <w:rFonts w:ascii="Verdana" w:eastAsia="Verdana" w:hAnsi="Verdana" w:cs="Verdana"/>
          <w:color w:val="000000"/>
        </w:rPr>
        <w:t>ς. Αργυρώνητος ή δούλος παντός γένους και πάσης θρησκείας είναι ελεύθερος άμα πατήση επί Ελληνικού εδάφους.</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13. Αι βάσανοι και η γενική δήμευσις απαγορεύονται.</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Άρθρο 14. Το απόρρητον των επιστολών είναι απαραβίαστον. Λογαριάζουμε πως αξίζει ακόμα να </w:t>
      </w:r>
      <w:r>
        <w:rPr>
          <w:rFonts w:ascii="Verdana" w:eastAsia="Verdana" w:hAnsi="Verdana" w:cs="Verdana"/>
          <w:color w:val="000000"/>
        </w:rPr>
        <w:t>μνημονέψουμε και τούτα εδώ τα άρθρα από το κεφάλαιο του Συντάγματος για τη δικαστική εξουσία:</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87. Οι δικασταί καθώς και τα ψήφον έχοντα μέλη του Ελεγκτικού Συνεδρίου θέλουν είσθαι ισόβιοι, μη δυνάμενοι να παυθώσιν άνευ δικαστικής αποφάσεως.</w:t>
      </w:r>
    </w:p>
    <w:p w:rsidR="00934004" w:rsidRDefault="002C5378">
      <w:pPr>
        <w:pStyle w:val="normal"/>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Άρθρο 89. Ουδείς αφαιρείται άκων του παρά του Νόμου ωρισμένου εις αυτόν δικαστού· όθεν δικαστικαί επιτροπαί και έκτακτα δικαστήρια υφ’ οιονδήποτε όνομα δεν επιτρέπεται να συστηθώσι.</w:t>
      </w:r>
    </w:p>
    <w:p w:rsidR="00934004" w:rsidRDefault="002C5378">
      <w:pPr>
        <w:pStyle w:val="normal"/>
        <w:pBdr>
          <w:top w:val="nil"/>
          <w:left w:val="nil"/>
          <w:bottom w:val="nil"/>
          <w:right w:val="nil"/>
          <w:between w:val="nil"/>
        </w:pBdr>
        <w:jc w:val="both"/>
        <w:rPr>
          <w:color w:val="000000"/>
        </w:rPr>
      </w:pPr>
      <w:r>
        <w:rPr>
          <w:rFonts w:ascii="Verdana" w:eastAsia="Verdana" w:hAnsi="Verdana" w:cs="Verdana"/>
          <w:color w:val="000000"/>
        </w:rPr>
        <w:t>Άρθρο 93. Τα πολιτικά εγκλήματα δικάζονται υπό των ενόρκων· ωσαύτως και τα του τύπους, οσάκις ταύτα δεν αφορώσι τον ιδιωτικόν βίον. Κοντά όμως στα προοδευτικά αυτά άρθρα υπάρχουν άλλα, που έδωσαν στον Όθωνα και στην κλίκα του το τυπικό δικαίωμα να καταντήσ</w:t>
      </w:r>
      <w:r>
        <w:rPr>
          <w:rFonts w:ascii="Verdana" w:eastAsia="Verdana" w:hAnsi="Verdana" w:cs="Verdana"/>
          <w:color w:val="000000"/>
        </w:rPr>
        <w:t>ουν το Σύνταγμα παρωδία.</w:t>
      </w:r>
      <w:r>
        <w:rPr>
          <w:color w:val="000000"/>
        </w:rPr>
        <w:t xml:space="preserve"> </w:t>
      </w:r>
    </w:p>
    <w:p w:rsidR="00934004" w:rsidRDefault="002C5378">
      <w:pPr>
        <w:pStyle w:val="normal"/>
        <w:pBdr>
          <w:top w:val="nil"/>
          <w:left w:val="nil"/>
          <w:bottom w:val="nil"/>
          <w:right w:val="nil"/>
          <w:between w:val="nil"/>
        </w:pBdr>
        <w:jc w:val="both"/>
        <w:rPr>
          <w:rFonts w:ascii="Verdana" w:eastAsia="Verdana" w:hAnsi="Verdana" w:cs="Verdana"/>
          <w:b/>
          <w:i/>
          <w:color w:val="000000"/>
        </w:rPr>
      </w:pPr>
      <w:r>
        <w:rPr>
          <w:rFonts w:ascii="Verdana" w:eastAsia="Verdana" w:hAnsi="Verdana" w:cs="Verdana"/>
          <w:b/>
          <w:i/>
          <w:color w:val="000000"/>
        </w:rPr>
        <w:t>Δημ. Φωτιάδης, Τα φοβερά ντοκουμέντα, 3η Σεπτεμβρίου 1843, σ.175-177</w:t>
      </w:r>
    </w:p>
    <w:p w:rsidR="00934004" w:rsidRDefault="002C5378">
      <w:pPr>
        <w:pStyle w:val="normal"/>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 xml:space="preserve">Βιβλιογραφία: </w:t>
      </w:r>
    </w:p>
    <w:p w:rsidR="00934004" w:rsidRDefault="002C5378">
      <w:pPr>
        <w:pStyle w:val="normal"/>
        <w:numPr>
          <w:ilvl w:val="0"/>
          <w:numId w:val="1"/>
        </w:numPr>
        <w:pBdr>
          <w:top w:val="nil"/>
          <w:left w:val="nil"/>
          <w:bottom w:val="nil"/>
          <w:right w:val="nil"/>
          <w:between w:val="nil"/>
        </w:pBdr>
        <w:spacing w:after="0" w:line="240" w:lineRule="auto"/>
        <w:jc w:val="both"/>
        <w:rPr>
          <w:rFonts w:ascii="Verdana" w:eastAsia="Verdana" w:hAnsi="Verdana" w:cs="Verdana"/>
          <w:b/>
          <w:color w:val="000000"/>
        </w:rPr>
      </w:pPr>
      <w:r>
        <w:rPr>
          <w:rFonts w:ascii="Verdana" w:eastAsia="Verdana" w:hAnsi="Verdana" w:cs="Verdana"/>
          <w:color w:val="000000"/>
        </w:rPr>
        <w:t>Θέματα Νεοελληνικής Ιστορίας, Σχολικό Εγχειρίδιο.</w:t>
      </w:r>
    </w:p>
    <w:p w:rsidR="00934004" w:rsidRDefault="002C5378">
      <w:pPr>
        <w:pStyle w:val="normal"/>
        <w:numPr>
          <w:ilvl w:val="0"/>
          <w:numId w:val="1"/>
        </w:numPr>
        <w:pBdr>
          <w:top w:val="nil"/>
          <w:left w:val="nil"/>
          <w:bottom w:val="nil"/>
          <w:right w:val="nil"/>
          <w:between w:val="nil"/>
        </w:pBdr>
        <w:spacing w:after="0" w:line="240" w:lineRule="auto"/>
        <w:jc w:val="both"/>
        <w:rPr>
          <w:rFonts w:ascii="Verdana" w:eastAsia="Verdana" w:hAnsi="Verdana" w:cs="Verdana"/>
          <w:b/>
          <w:color w:val="000000"/>
        </w:rPr>
      </w:pPr>
      <w:bookmarkStart w:id="0" w:name="_gjdgxs" w:colFirst="0" w:colLast="0"/>
      <w:bookmarkEnd w:id="0"/>
      <w:r>
        <w:rPr>
          <w:rFonts w:ascii="Verdana" w:eastAsia="Verdana" w:hAnsi="Verdana" w:cs="Verdana"/>
          <w:color w:val="000000"/>
        </w:rPr>
        <w:t>iekpaideysi.gr</w:t>
      </w:r>
    </w:p>
    <w:sectPr w:rsidR="00934004" w:rsidSect="00934004">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56E17"/>
    <w:multiLevelType w:val="multilevel"/>
    <w:tmpl w:val="BB2AC5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savePreviewPicture/>
  <w:compat/>
  <w:rsids>
    <w:rsidRoot w:val="00934004"/>
    <w:rsid w:val="002C5378"/>
    <w:rsid w:val="009340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934004"/>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normal"/>
    <w:next w:val="normal"/>
    <w:rsid w:val="00934004"/>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normal"/>
    <w:next w:val="normal"/>
    <w:rsid w:val="00934004"/>
    <w:pPr>
      <w:keepNext/>
      <w:widowControl w:val="0"/>
      <w:pBdr>
        <w:top w:val="nil"/>
        <w:left w:val="nil"/>
        <w:bottom w:val="nil"/>
        <w:right w:val="nil"/>
        <w:between w:val="nil"/>
      </w:pBdr>
      <w:spacing w:before="240" w:after="120" w:line="240" w:lineRule="auto"/>
      <w:outlineLvl w:val="2"/>
    </w:pPr>
    <w:rPr>
      <w:rFonts w:ascii="Times New Roman" w:eastAsia="Times New Roman" w:hAnsi="Times New Roman" w:cs="Times New Roman"/>
      <w:b/>
      <w:color w:val="000000"/>
      <w:sz w:val="28"/>
      <w:szCs w:val="28"/>
    </w:rPr>
  </w:style>
  <w:style w:type="paragraph" w:styleId="4">
    <w:name w:val="heading 4"/>
    <w:basedOn w:val="normal"/>
    <w:next w:val="normal"/>
    <w:rsid w:val="00934004"/>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normal"/>
    <w:next w:val="normal"/>
    <w:rsid w:val="00934004"/>
    <w:pPr>
      <w:keepNext/>
      <w:keepLines/>
      <w:pBdr>
        <w:top w:val="nil"/>
        <w:left w:val="nil"/>
        <w:bottom w:val="nil"/>
        <w:right w:val="nil"/>
        <w:between w:val="nil"/>
      </w:pBdr>
      <w:spacing w:before="220" w:after="40"/>
      <w:outlineLvl w:val="4"/>
    </w:pPr>
    <w:rPr>
      <w:b/>
      <w:color w:val="000000"/>
    </w:rPr>
  </w:style>
  <w:style w:type="paragraph" w:styleId="6">
    <w:name w:val="heading 6"/>
    <w:basedOn w:val="normal"/>
    <w:next w:val="normal"/>
    <w:rsid w:val="00934004"/>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934004"/>
  </w:style>
  <w:style w:type="table" w:customStyle="1" w:styleId="TableNormal">
    <w:name w:val="Table Normal"/>
    <w:rsid w:val="00934004"/>
    <w:tblPr>
      <w:tblCellMar>
        <w:top w:w="0" w:type="dxa"/>
        <w:left w:w="0" w:type="dxa"/>
        <w:bottom w:w="0" w:type="dxa"/>
        <w:right w:w="0" w:type="dxa"/>
      </w:tblCellMar>
    </w:tblPr>
  </w:style>
  <w:style w:type="paragraph" w:styleId="a3">
    <w:name w:val="Title"/>
    <w:basedOn w:val="normal"/>
    <w:next w:val="normal"/>
    <w:rsid w:val="00934004"/>
    <w:pPr>
      <w:keepNext/>
      <w:keepLines/>
      <w:pBdr>
        <w:top w:val="nil"/>
        <w:left w:val="nil"/>
        <w:bottom w:val="nil"/>
        <w:right w:val="nil"/>
        <w:between w:val="nil"/>
      </w:pBdr>
      <w:spacing w:before="480" w:after="120"/>
    </w:pPr>
    <w:rPr>
      <w:b/>
      <w:color w:val="000000"/>
      <w:sz w:val="72"/>
      <w:szCs w:val="72"/>
    </w:rPr>
  </w:style>
  <w:style w:type="paragraph" w:styleId="a4">
    <w:name w:val="Subtitle"/>
    <w:basedOn w:val="normal"/>
    <w:next w:val="normal"/>
    <w:rsid w:val="00934004"/>
    <w:pPr>
      <w:pBdr>
        <w:top w:val="nil"/>
        <w:left w:val="nil"/>
        <w:bottom w:val="nil"/>
        <w:right w:val="nil"/>
        <w:between w:val="nil"/>
      </w:pBdr>
      <w:spacing w:after="0" w:line="240" w:lineRule="auto"/>
      <w:jc w:val="center"/>
    </w:pPr>
    <w:rPr>
      <w:rFonts w:ascii="Times New Roman" w:eastAsia="Times New Roman" w:hAnsi="Times New Roman" w:cs="Times New Roman"/>
      <w:b/>
      <w:color w:val="000000"/>
      <w:sz w:val="28"/>
      <w:szCs w:val="28"/>
    </w:rPr>
  </w:style>
  <w:style w:type="paragraph" w:styleId="a5">
    <w:name w:val="Balloon Text"/>
    <w:basedOn w:val="a"/>
    <w:link w:val="Char"/>
    <w:uiPriority w:val="99"/>
    <w:semiHidden/>
    <w:unhideWhenUsed/>
    <w:rsid w:val="002C5378"/>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2C53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5256</Characters>
  <Application>Microsoft Office Word</Application>
  <DocSecurity>0</DocSecurity>
  <Lines>43</Lines>
  <Paragraphs>12</Paragraphs>
  <ScaleCrop>false</ScaleCrop>
  <Company/>
  <LinksUpToDate>false</LinksUpToDate>
  <CharactersWithSpaces>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2021-04-21T17:40:00Z</dcterms:created>
  <dcterms:modified xsi:type="dcterms:W3CDTF">2021-04-21T17:40:00Z</dcterms:modified>
</cp:coreProperties>
</file>